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E8BD" w14:textId="31994E5E" w:rsidR="00EA6C38" w:rsidRPr="00D42139" w:rsidRDefault="00EA6C38" w:rsidP="0096794B">
      <w:pPr>
        <w:pStyle w:val="CRCoverPage"/>
        <w:tabs>
          <w:tab w:val="right" w:pos="9639"/>
        </w:tabs>
        <w:spacing w:after="0"/>
        <w:jc w:val="both"/>
        <w:rPr>
          <w:b/>
          <w:i/>
          <w:noProof/>
          <w:sz w:val="24"/>
          <w:szCs w:val="24"/>
          <w:lang w:eastAsia="ko-KR"/>
        </w:rPr>
      </w:pPr>
      <w:bookmarkStart w:id="0" w:name="OLE_LINK1"/>
      <w:bookmarkStart w:id="1" w:name="OLE_LINK2"/>
      <w:bookmarkStart w:id="2" w:name="_GoBack"/>
      <w:bookmarkEnd w:id="2"/>
      <w:r w:rsidRPr="00D42139">
        <w:rPr>
          <w:b/>
          <w:sz w:val="24"/>
          <w:szCs w:val="24"/>
        </w:rPr>
        <w:t xml:space="preserve">3GPP TSG </w:t>
      </w:r>
      <w:r w:rsidRPr="00D42139">
        <w:rPr>
          <w:rFonts w:hint="eastAsia"/>
          <w:b/>
          <w:sz w:val="24"/>
          <w:szCs w:val="24"/>
          <w:lang w:eastAsia="ko-KR"/>
        </w:rPr>
        <w:t>RAN WG1</w:t>
      </w:r>
      <w:r w:rsidR="00A065B7" w:rsidRPr="00D42139">
        <w:rPr>
          <w:b/>
          <w:sz w:val="24"/>
          <w:szCs w:val="24"/>
          <w:lang w:eastAsia="ko-KR"/>
        </w:rPr>
        <w:t xml:space="preserve"> </w:t>
      </w:r>
      <w:r w:rsidR="002B0EBD" w:rsidRPr="00D42139">
        <w:rPr>
          <w:b/>
          <w:sz w:val="24"/>
          <w:szCs w:val="24"/>
          <w:lang w:eastAsia="ko-KR"/>
        </w:rPr>
        <w:t xml:space="preserve">NR </w:t>
      </w:r>
      <w:r w:rsidR="001B689F" w:rsidRPr="00D42139">
        <w:rPr>
          <w:b/>
          <w:sz w:val="24"/>
          <w:szCs w:val="24"/>
          <w:lang w:eastAsia="ko-KR"/>
        </w:rPr>
        <w:t>Meeting# 90</w:t>
      </w:r>
      <w:r w:rsidRPr="00D42139">
        <w:rPr>
          <w:rFonts w:hint="eastAsia"/>
          <w:b/>
          <w:sz w:val="24"/>
          <w:szCs w:val="24"/>
          <w:lang w:eastAsia="ko-KR"/>
        </w:rPr>
        <w:tab/>
      </w:r>
      <w:r w:rsidR="008E3AF1" w:rsidRPr="008E3AF1">
        <w:rPr>
          <w:b/>
          <w:sz w:val="24"/>
          <w:szCs w:val="24"/>
          <w:lang w:eastAsia="ko-KR"/>
        </w:rPr>
        <w:t>R1-1713654</w:t>
      </w:r>
    </w:p>
    <w:bookmarkEnd w:id="0"/>
    <w:bookmarkEnd w:id="1"/>
    <w:p w14:paraId="29ED6FC8" w14:textId="1486F662" w:rsidR="006D2ED0" w:rsidRPr="00D42139" w:rsidRDefault="004F7279" w:rsidP="0096794B">
      <w:pPr>
        <w:pStyle w:val="CRCoverPage"/>
        <w:spacing w:after="240"/>
        <w:jc w:val="both"/>
        <w:outlineLvl w:val="0"/>
        <w:rPr>
          <w:b/>
          <w:noProof/>
          <w:sz w:val="24"/>
          <w:szCs w:val="24"/>
        </w:rPr>
      </w:pPr>
      <w:r w:rsidRPr="00D42139">
        <w:rPr>
          <w:b/>
          <w:bCs/>
          <w:noProof/>
          <w:sz w:val="24"/>
          <w:szCs w:val="24"/>
          <w:lang w:eastAsia="ko-KR"/>
        </w:rPr>
        <w:t>Prague</w:t>
      </w:r>
      <w:r w:rsidR="00D027D2" w:rsidRPr="00D42139">
        <w:rPr>
          <w:b/>
          <w:bCs/>
          <w:noProof/>
          <w:sz w:val="24"/>
          <w:szCs w:val="24"/>
          <w:lang w:eastAsia="ko-KR"/>
        </w:rPr>
        <w:t xml:space="preserve">, </w:t>
      </w:r>
      <w:r w:rsidRPr="00D42139">
        <w:rPr>
          <w:b/>
          <w:bCs/>
          <w:noProof/>
          <w:sz w:val="24"/>
          <w:szCs w:val="24"/>
          <w:lang w:eastAsia="ko-KR"/>
        </w:rPr>
        <w:t>Czech Republic,</w:t>
      </w:r>
      <w:r w:rsidR="00D027D2" w:rsidRPr="00D42139">
        <w:rPr>
          <w:b/>
          <w:bCs/>
          <w:noProof/>
          <w:sz w:val="24"/>
          <w:szCs w:val="24"/>
          <w:lang w:eastAsia="ko-KR"/>
        </w:rPr>
        <w:t xml:space="preserve"> 2</w:t>
      </w:r>
      <w:r w:rsidR="001B689F" w:rsidRPr="00D42139">
        <w:rPr>
          <w:b/>
          <w:bCs/>
          <w:noProof/>
          <w:sz w:val="24"/>
          <w:szCs w:val="24"/>
          <w:lang w:eastAsia="ko-KR"/>
        </w:rPr>
        <w:t>1</w:t>
      </w:r>
      <w:r w:rsidR="001B689F" w:rsidRPr="00D42139">
        <w:rPr>
          <w:b/>
          <w:bCs/>
          <w:noProof/>
          <w:sz w:val="24"/>
          <w:szCs w:val="24"/>
          <w:vertAlign w:val="superscript"/>
          <w:lang w:eastAsia="ko-KR"/>
        </w:rPr>
        <w:t>st</w:t>
      </w:r>
      <w:r w:rsidR="001B689F" w:rsidRPr="00D42139">
        <w:rPr>
          <w:b/>
          <w:bCs/>
          <w:noProof/>
          <w:sz w:val="24"/>
          <w:szCs w:val="24"/>
          <w:lang w:eastAsia="ko-KR"/>
        </w:rPr>
        <w:t xml:space="preserve"> </w:t>
      </w:r>
      <w:r w:rsidR="00F92A7E" w:rsidRPr="00D42139">
        <w:rPr>
          <w:b/>
          <w:bCs/>
          <w:noProof/>
          <w:sz w:val="24"/>
          <w:szCs w:val="24"/>
          <w:lang w:eastAsia="ko-KR"/>
        </w:rPr>
        <w:t xml:space="preserve">– </w:t>
      </w:r>
      <w:r w:rsidR="001B689F" w:rsidRPr="00D42139">
        <w:rPr>
          <w:b/>
          <w:bCs/>
          <w:noProof/>
          <w:sz w:val="24"/>
          <w:szCs w:val="24"/>
          <w:lang w:eastAsia="ko-KR"/>
        </w:rPr>
        <w:t>26</w:t>
      </w:r>
      <w:r w:rsidR="00F92A7E" w:rsidRPr="00D42139">
        <w:rPr>
          <w:b/>
          <w:bCs/>
          <w:noProof/>
          <w:sz w:val="24"/>
          <w:szCs w:val="24"/>
          <w:vertAlign w:val="superscript"/>
          <w:lang w:eastAsia="ko-KR"/>
        </w:rPr>
        <w:t>th</w:t>
      </w:r>
      <w:r w:rsidR="00D027D2" w:rsidRPr="00D42139">
        <w:rPr>
          <w:b/>
          <w:bCs/>
          <w:noProof/>
          <w:sz w:val="24"/>
          <w:szCs w:val="24"/>
          <w:lang w:eastAsia="ko-KR"/>
        </w:rPr>
        <w:t xml:space="preserve"> </w:t>
      </w:r>
      <w:r w:rsidR="001B689F" w:rsidRPr="00D42139">
        <w:rPr>
          <w:b/>
          <w:bCs/>
          <w:noProof/>
          <w:sz w:val="24"/>
          <w:szCs w:val="24"/>
          <w:lang w:eastAsia="ko-KR"/>
        </w:rPr>
        <w:t>August</w:t>
      </w:r>
      <w:r w:rsidR="00F92A7E" w:rsidRPr="00D42139">
        <w:rPr>
          <w:b/>
          <w:bCs/>
          <w:noProof/>
          <w:sz w:val="24"/>
          <w:szCs w:val="24"/>
          <w:lang w:eastAsia="ko-KR"/>
        </w:rPr>
        <w:t xml:space="preserve"> 2017</w:t>
      </w:r>
    </w:p>
    <w:p w14:paraId="14E60C53" w14:textId="494E2261" w:rsidR="0072162A" w:rsidRPr="00D42139" w:rsidRDefault="0072162A" w:rsidP="0096794B">
      <w:pPr>
        <w:tabs>
          <w:tab w:val="left" w:pos="1985"/>
        </w:tabs>
        <w:ind w:left="2040" w:hangingChars="850" w:hanging="2040"/>
        <w:jc w:val="both"/>
        <w:rPr>
          <w:rFonts w:ascii="Arial" w:hAnsi="Arial"/>
          <w:sz w:val="24"/>
          <w:lang w:eastAsia="ko-KR"/>
        </w:rPr>
      </w:pPr>
      <w:r w:rsidRPr="00D42139">
        <w:rPr>
          <w:rFonts w:ascii="Arial" w:hAnsi="Arial"/>
          <w:b/>
          <w:sz w:val="24"/>
        </w:rPr>
        <w:t>Agenda item:</w:t>
      </w:r>
      <w:r w:rsidRPr="00D42139">
        <w:rPr>
          <w:rFonts w:ascii="Arial" w:hAnsi="Arial"/>
          <w:sz w:val="24"/>
        </w:rPr>
        <w:tab/>
      </w:r>
      <w:bookmarkStart w:id="3" w:name="Source"/>
      <w:bookmarkEnd w:id="3"/>
      <w:r w:rsidR="00662FE8" w:rsidRPr="00D42139">
        <w:rPr>
          <w:rFonts w:ascii="Arial" w:hAnsi="Arial"/>
          <w:sz w:val="24"/>
        </w:rPr>
        <w:t>6.1.3.5</w:t>
      </w:r>
    </w:p>
    <w:p w14:paraId="58737643" w14:textId="77777777" w:rsidR="0072162A" w:rsidRPr="00D42139" w:rsidRDefault="0072162A" w:rsidP="0096794B">
      <w:pPr>
        <w:tabs>
          <w:tab w:val="left" w:pos="1985"/>
        </w:tabs>
        <w:ind w:left="2040" w:hangingChars="850" w:hanging="2040"/>
        <w:jc w:val="both"/>
        <w:rPr>
          <w:rFonts w:ascii="Arial" w:hAnsi="Arial"/>
          <w:sz w:val="24"/>
          <w:lang w:eastAsia="ko-KR"/>
        </w:rPr>
      </w:pPr>
      <w:r w:rsidRPr="00D42139">
        <w:rPr>
          <w:rFonts w:ascii="Arial" w:hAnsi="Arial"/>
          <w:b/>
          <w:sz w:val="24"/>
        </w:rPr>
        <w:t>Source:</w:t>
      </w:r>
      <w:r w:rsidRPr="00D42139">
        <w:rPr>
          <w:rFonts w:ascii="Arial" w:hAnsi="Arial"/>
          <w:b/>
          <w:sz w:val="24"/>
        </w:rPr>
        <w:tab/>
      </w:r>
      <w:r w:rsidRPr="00D42139">
        <w:rPr>
          <w:rFonts w:ascii="Arial" w:hAnsi="Arial"/>
          <w:sz w:val="24"/>
        </w:rPr>
        <w:t>Samsung</w:t>
      </w:r>
    </w:p>
    <w:p w14:paraId="608CC553" w14:textId="38187F5C" w:rsidR="0072162A" w:rsidRPr="00D42139" w:rsidRDefault="0072162A" w:rsidP="0096794B">
      <w:pPr>
        <w:tabs>
          <w:tab w:val="left" w:pos="1985"/>
        </w:tabs>
        <w:ind w:left="2040" w:hangingChars="850" w:hanging="2040"/>
        <w:jc w:val="both"/>
        <w:rPr>
          <w:rFonts w:ascii="Arial" w:hAnsi="Arial"/>
          <w:sz w:val="24"/>
          <w:lang w:eastAsia="ko-KR"/>
        </w:rPr>
      </w:pPr>
      <w:r w:rsidRPr="00D42139">
        <w:rPr>
          <w:rFonts w:ascii="Arial" w:hAnsi="Arial"/>
          <w:b/>
          <w:sz w:val="24"/>
        </w:rPr>
        <w:t>Title:</w:t>
      </w:r>
      <w:r w:rsidRPr="00D42139">
        <w:rPr>
          <w:rFonts w:ascii="Arial" w:hAnsi="Arial"/>
          <w:b/>
          <w:sz w:val="24"/>
        </w:rPr>
        <w:tab/>
      </w:r>
      <w:r w:rsidR="00B5273D" w:rsidRPr="00D42139">
        <w:rPr>
          <w:rFonts w:ascii="Arial" w:hAnsi="Arial"/>
          <w:sz w:val="24"/>
        </w:rPr>
        <w:t xml:space="preserve">Wider </w:t>
      </w:r>
      <w:r w:rsidR="00534C3C" w:rsidRPr="00D42139">
        <w:rPr>
          <w:rFonts w:ascii="Arial" w:hAnsi="Arial"/>
          <w:sz w:val="24"/>
        </w:rPr>
        <w:t>B</w:t>
      </w:r>
      <w:r w:rsidR="00B5273D" w:rsidRPr="00D42139">
        <w:rPr>
          <w:rFonts w:ascii="Arial" w:hAnsi="Arial"/>
          <w:sz w:val="24"/>
        </w:rPr>
        <w:t xml:space="preserve">andwidth </w:t>
      </w:r>
      <w:r w:rsidR="00534C3C" w:rsidRPr="00D42139">
        <w:rPr>
          <w:rFonts w:ascii="Arial" w:hAnsi="Arial"/>
          <w:sz w:val="24"/>
        </w:rPr>
        <w:t>Operations</w:t>
      </w:r>
    </w:p>
    <w:p w14:paraId="137AEAF4" w14:textId="77777777" w:rsidR="002938B1" w:rsidRPr="00D42139" w:rsidRDefault="002938B1" w:rsidP="0096794B">
      <w:pPr>
        <w:tabs>
          <w:tab w:val="left" w:pos="1985"/>
        </w:tabs>
        <w:ind w:left="2040" w:hangingChars="850" w:hanging="2040"/>
        <w:jc w:val="both"/>
        <w:rPr>
          <w:rFonts w:ascii="Arial" w:hAnsi="Arial"/>
          <w:b/>
          <w:sz w:val="24"/>
        </w:rPr>
      </w:pPr>
      <w:r w:rsidRPr="00D42139">
        <w:rPr>
          <w:rFonts w:ascii="Arial" w:hAnsi="Arial"/>
          <w:b/>
          <w:sz w:val="24"/>
        </w:rPr>
        <w:t>Document for:</w:t>
      </w:r>
      <w:r w:rsidR="001B0D8A" w:rsidRPr="00D42139">
        <w:rPr>
          <w:rFonts w:ascii="Arial" w:hAnsi="Arial"/>
          <w:b/>
          <w:sz w:val="24"/>
        </w:rPr>
        <w:tab/>
      </w:r>
      <w:r w:rsidR="004C0799" w:rsidRPr="00D42139">
        <w:rPr>
          <w:rFonts w:ascii="Arial" w:hAnsi="Arial"/>
          <w:sz w:val="24"/>
        </w:rPr>
        <w:t>D</w:t>
      </w:r>
      <w:r w:rsidRPr="00D42139">
        <w:rPr>
          <w:rFonts w:ascii="Arial" w:hAnsi="Arial" w:hint="eastAsia"/>
          <w:sz w:val="24"/>
        </w:rPr>
        <w:t>iscussion</w:t>
      </w:r>
      <w:r w:rsidR="004C0799" w:rsidRPr="00D42139">
        <w:rPr>
          <w:rFonts w:ascii="Arial" w:hAnsi="Arial"/>
          <w:sz w:val="24"/>
        </w:rPr>
        <w:t xml:space="preserve"> and decision</w:t>
      </w:r>
    </w:p>
    <w:p w14:paraId="6D945865" w14:textId="77777777" w:rsidR="002938B1" w:rsidRPr="00D42139" w:rsidRDefault="002938B1" w:rsidP="009679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2139">
        <w:rPr>
          <w:rFonts w:hint="eastAsia"/>
          <w:szCs w:val="20"/>
          <w:lang w:val="en-US"/>
        </w:rPr>
        <w:t>Introduction</w:t>
      </w:r>
    </w:p>
    <w:p w14:paraId="07DFA28C" w14:textId="7AFFFCBB" w:rsidR="00055312" w:rsidRPr="00DF6F45" w:rsidRDefault="00055312" w:rsidP="0096794B">
      <w:pPr>
        <w:spacing w:after="0" w:line="288" w:lineRule="auto"/>
        <w:jc w:val="both"/>
        <w:rPr>
          <w:lang w:eastAsia="ko-KR"/>
        </w:rPr>
      </w:pPr>
      <w:r w:rsidRPr="00DF6F45">
        <w:rPr>
          <w:lang w:eastAsia="ko-KR"/>
        </w:rPr>
        <w:t xml:space="preserve">RAN1 concluded from NR SI that maximum channel </w:t>
      </w:r>
      <w:r w:rsidRPr="00D42139">
        <w:rPr>
          <w:rFonts w:eastAsia="MS Mincho"/>
          <w:lang w:val="en-US" w:eastAsia="ja-JP"/>
        </w:rPr>
        <w:t xml:space="preserve">bandwidth per NR carrier is 400 MHz in Rel-15 and the maximum number of NR carriers for CA and DC is 16 from RAN1 specification perspective. </w:t>
      </w:r>
      <w:r w:rsidRPr="00DF6F45">
        <w:rPr>
          <w:lang w:eastAsia="ko-KR"/>
        </w:rPr>
        <w:t xml:space="preserve">In the context of </w:t>
      </w:r>
      <w:r w:rsidRPr="00DF6F45">
        <w:rPr>
          <w:rFonts w:hint="eastAsia"/>
          <w:lang w:eastAsia="ko-KR"/>
        </w:rPr>
        <w:t>NR wider</w:t>
      </w:r>
      <w:r w:rsidRPr="00DF6F45">
        <w:rPr>
          <w:lang w:eastAsia="ko-KR"/>
        </w:rPr>
        <w:t xml:space="preserve"> bandwidth operation, two aspects are considered; 1) UE RF bandwidth adaptation, 2) </w:t>
      </w:r>
      <w:r w:rsidRPr="00D42139">
        <w:rPr>
          <w:rFonts w:eastAsia="MS Mincho"/>
          <w:lang w:val="en-US" w:eastAsia="ja-JP"/>
        </w:rPr>
        <w:t xml:space="preserve">Coexistence among </w:t>
      </w:r>
      <w:r w:rsidRPr="00D42139">
        <w:rPr>
          <w:rFonts w:eastAsia="MS Mincho" w:hint="eastAsia"/>
          <w:lang w:val="en-US" w:eastAsia="ja-JP"/>
        </w:rPr>
        <w:t>narrow</w:t>
      </w:r>
      <w:r w:rsidRPr="00DF6F45">
        <w:rPr>
          <w:rFonts w:eastAsia="MS Mincho"/>
          <w:lang w:val="en-US" w:eastAsia="ja-JP"/>
        </w:rPr>
        <w:t xml:space="preserve"> band UEs</w:t>
      </w:r>
      <w:r w:rsidR="00217B6D" w:rsidRPr="00DF6F45">
        <w:rPr>
          <w:rFonts w:eastAsia="MS Mincho"/>
          <w:lang w:val="en-US" w:eastAsia="ja-JP"/>
        </w:rPr>
        <w:t xml:space="preserve"> (NB UEs)</w:t>
      </w:r>
      <w:r w:rsidRPr="00DF6F45">
        <w:rPr>
          <w:rFonts w:eastAsia="MS Mincho"/>
          <w:lang w:val="en-US" w:eastAsia="ja-JP"/>
        </w:rPr>
        <w:t>, CA UEs and wideband UEs</w:t>
      </w:r>
      <w:r w:rsidR="00217B6D" w:rsidRPr="00DF6F45">
        <w:rPr>
          <w:rFonts w:eastAsia="MS Mincho"/>
          <w:lang w:val="en-US" w:eastAsia="ja-JP"/>
        </w:rPr>
        <w:t xml:space="preserve"> (WB UEs)</w:t>
      </w:r>
      <w:r w:rsidRPr="00DF6F45">
        <w:rPr>
          <w:rFonts w:eastAsia="MS Mincho"/>
          <w:lang w:val="en-US" w:eastAsia="ja-JP"/>
        </w:rPr>
        <w:t xml:space="preserve"> within a wideband NR carrier. T</w:t>
      </w:r>
      <w:r w:rsidRPr="00DF6F45">
        <w:rPr>
          <w:lang w:val="en-US" w:eastAsia="ko-KR"/>
        </w:rPr>
        <w:t xml:space="preserve">he primary benefit for UE RF bandwidth adaptation is UE power saving [1]. Supporting multiple UE types/categories within a wideband NR carrier allows implementation flexibility. </w:t>
      </w:r>
      <w:r w:rsidRPr="00DF6F45">
        <w:rPr>
          <w:lang w:eastAsia="ko-KR"/>
        </w:rPr>
        <w:t xml:space="preserve">RAN1 introduced bandwidth part (BWP) to support </w:t>
      </w:r>
      <w:r w:rsidRPr="00DF6F45">
        <w:rPr>
          <w:rFonts w:hint="eastAsia"/>
          <w:lang w:eastAsia="ko-KR"/>
        </w:rPr>
        <w:t>NR wider</w:t>
      </w:r>
      <w:r w:rsidRPr="00DF6F45">
        <w:rPr>
          <w:lang w:eastAsia="ko-KR"/>
        </w:rPr>
        <w:t xml:space="preserve"> bandwidth operation. A BWP consists of a group of contiguous PRBs and is associated with a specific numerology (sub-carrier spacing, CP type).</w:t>
      </w:r>
    </w:p>
    <w:p w14:paraId="5E8FBF06" w14:textId="21046886" w:rsidR="009915F3" w:rsidRPr="00DF6F45" w:rsidRDefault="00086C42" w:rsidP="0096794B">
      <w:pPr>
        <w:pStyle w:val="Heading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Default </w:t>
      </w:r>
      <w:r w:rsidR="00217B6D" w:rsidRPr="00DF6F45">
        <w:rPr>
          <w:szCs w:val="20"/>
          <w:lang w:val="en-US"/>
        </w:rPr>
        <w:t>BWP</w:t>
      </w:r>
    </w:p>
    <w:p w14:paraId="40C5641D" w14:textId="77777777" w:rsidR="005469A0" w:rsidRPr="00DF6F45" w:rsidRDefault="005469A0" w:rsidP="0096794B">
      <w:pPr>
        <w:pStyle w:val="ListParagraph"/>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val="en-US" w:eastAsia="ko-KR"/>
        </w:rPr>
      </w:pPr>
    </w:p>
    <w:p w14:paraId="31536E81" w14:textId="77777777" w:rsidR="005469A0" w:rsidRPr="00DF6F45" w:rsidRDefault="005469A0" w:rsidP="0096794B">
      <w:pPr>
        <w:pStyle w:val="ListParagraph"/>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val="en-US" w:eastAsia="ko-KR"/>
        </w:rPr>
      </w:pPr>
    </w:p>
    <w:p w14:paraId="1D984AC7" w14:textId="77777777" w:rsidR="005469A0" w:rsidRPr="00DF6F45" w:rsidRDefault="005469A0" w:rsidP="0096794B">
      <w:pPr>
        <w:pStyle w:val="ListParagraph"/>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val="en-US" w:eastAsia="ko-KR"/>
        </w:rPr>
      </w:pPr>
    </w:p>
    <w:p w14:paraId="75C339DE" w14:textId="72ED1499" w:rsidR="009951F7" w:rsidRPr="00DF6F45" w:rsidRDefault="00545A0D" w:rsidP="003B77F5">
      <w:pPr>
        <w:spacing w:line="288" w:lineRule="auto"/>
        <w:jc w:val="both"/>
        <w:rPr>
          <w:lang w:val="en-US" w:eastAsia="ko-KR"/>
        </w:rPr>
      </w:pPr>
      <w:r>
        <w:rPr>
          <w:lang w:val="en-US" w:eastAsia="ko-KR"/>
        </w:rPr>
        <w:t xml:space="preserve">Default BWP </w:t>
      </w:r>
      <w:r w:rsidR="00E41D7F">
        <w:rPr>
          <w:lang w:val="en-US" w:eastAsia="ko-KR"/>
        </w:rPr>
        <w:t xml:space="preserve">(or anchor BWP) </w:t>
      </w:r>
      <w:r>
        <w:rPr>
          <w:lang w:val="en-US" w:eastAsia="ko-KR"/>
        </w:rPr>
        <w:t>is the BWP whether the UE has detected the SS block and can be reconfigured after initial access. The</w:t>
      </w:r>
      <w:r w:rsidR="005212AF" w:rsidRPr="00DF6F45">
        <w:rPr>
          <w:lang w:val="en-US" w:eastAsia="ko-KR"/>
        </w:rPr>
        <w:t xml:space="preserve"> d</w:t>
      </w:r>
      <w:r w:rsidR="00FC4653" w:rsidRPr="00DF6F45">
        <w:rPr>
          <w:lang w:val="en-US" w:eastAsia="ko-KR"/>
        </w:rPr>
        <w:t>efault BW</w:t>
      </w:r>
      <w:r w:rsidR="002E772D" w:rsidRPr="00DF6F45">
        <w:rPr>
          <w:lang w:val="en-US" w:eastAsia="ko-KR"/>
        </w:rPr>
        <w:t>P</w:t>
      </w:r>
      <w:r w:rsidR="005212AF" w:rsidRPr="00DF6F45">
        <w:rPr>
          <w:lang w:val="en-US" w:eastAsia="ko-KR"/>
        </w:rPr>
        <w:t xml:space="preserve"> would enable following operation:</w:t>
      </w:r>
    </w:p>
    <w:p w14:paraId="766E3D94" w14:textId="15B6CC48" w:rsidR="009951F7" w:rsidRPr="00DF6F45" w:rsidRDefault="00077C1B" w:rsidP="0091658D">
      <w:pPr>
        <w:pStyle w:val="ListParagraph"/>
        <w:numPr>
          <w:ilvl w:val="0"/>
          <w:numId w:val="30"/>
        </w:numPr>
        <w:ind w:leftChars="0"/>
        <w:jc w:val="both"/>
        <w:rPr>
          <w:lang w:val="en-US" w:eastAsia="ko-KR"/>
        </w:rPr>
      </w:pPr>
      <w:r w:rsidRPr="00DF6F45">
        <w:rPr>
          <w:lang w:val="en-US" w:eastAsia="ko-KR"/>
        </w:rPr>
        <w:t>fallback</w:t>
      </w:r>
      <w:r w:rsidR="00FC4653" w:rsidRPr="00DF6F45">
        <w:rPr>
          <w:lang w:val="en-US" w:eastAsia="ko-KR"/>
        </w:rPr>
        <w:t xml:space="preserve"> operations</w:t>
      </w:r>
      <w:r w:rsidRPr="00DF6F45">
        <w:rPr>
          <w:lang w:val="en-US" w:eastAsia="ko-KR"/>
        </w:rPr>
        <w:t xml:space="preserve"> if the indication of active DL</w:t>
      </w:r>
      <w:r w:rsidR="002E772D" w:rsidRPr="00DF6F45">
        <w:rPr>
          <w:lang w:val="en-US" w:eastAsia="ko-KR"/>
        </w:rPr>
        <w:t>/UL</w:t>
      </w:r>
      <w:r w:rsidRPr="00DF6F45">
        <w:rPr>
          <w:lang w:val="en-US" w:eastAsia="ko-KR"/>
        </w:rPr>
        <w:t xml:space="preserve"> BW part is missed by a UE</w:t>
      </w:r>
      <w:r w:rsidR="00AD2117" w:rsidRPr="00DF6F45">
        <w:rPr>
          <w:lang w:val="en-US" w:eastAsia="ko-KR"/>
        </w:rPr>
        <w:t xml:space="preserve"> and/or DCI-based indications are missed by the UE</w:t>
      </w:r>
    </w:p>
    <w:p w14:paraId="7E3D50BF" w14:textId="6E3261EE" w:rsidR="009951F7" w:rsidRPr="00DF6F45" w:rsidRDefault="00077C1B" w:rsidP="0091658D">
      <w:pPr>
        <w:pStyle w:val="ListParagraph"/>
        <w:numPr>
          <w:ilvl w:val="0"/>
          <w:numId w:val="30"/>
        </w:numPr>
        <w:ind w:leftChars="0"/>
        <w:jc w:val="both"/>
        <w:rPr>
          <w:lang w:val="en-US" w:eastAsia="ko-KR"/>
        </w:rPr>
      </w:pPr>
      <w:r w:rsidRPr="00DF6F45">
        <w:rPr>
          <w:lang w:val="en-US" w:eastAsia="ko-KR"/>
        </w:rPr>
        <w:t>DRX operation or IDLE mode operation, e.g. UE monitors PDCCH or paging messages over it</w:t>
      </w:r>
    </w:p>
    <w:p w14:paraId="52666551" w14:textId="13773D12" w:rsidR="00244BF9" w:rsidRPr="00DF6F45" w:rsidRDefault="003466FC" w:rsidP="0091658D">
      <w:pPr>
        <w:spacing w:line="288" w:lineRule="auto"/>
        <w:jc w:val="both"/>
        <w:rPr>
          <w:lang w:val="en-US" w:eastAsia="ko-KR"/>
        </w:rPr>
      </w:pPr>
      <w:r w:rsidRPr="00DF6F45">
        <w:rPr>
          <w:lang w:val="en-US" w:eastAsia="ko-KR"/>
        </w:rPr>
        <w:t xml:space="preserve">The size of the default BWP can be same as the minimum channel BW supported by all NR UEs. </w:t>
      </w:r>
      <w:r w:rsidR="002E772D" w:rsidRPr="00DF6F45">
        <w:rPr>
          <w:lang w:val="en-US" w:eastAsia="ko-KR"/>
        </w:rPr>
        <w:t>Default BWP can be UE specific such that load balancing can be achieved.</w:t>
      </w:r>
      <w:r w:rsidR="00462263" w:rsidRPr="00DF6F45">
        <w:rPr>
          <w:lang w:val="en-US" w:eastAsia="ko-KR"/>
        </w:rPr>
        <w:t xml:space="preserve"> For FDD, default DL and UL BW</w:t>
      </w:r>
      <w:r w:rsidR="00217B6D" w:rsidRPr="00DF6F45">
        <w:rPr>
          <w:lang w:val="en-US" w:eastAsia="ko-KR"/>
        </w:rPr>
        <w:t>P</w:t>
      </w:r>
      <w:r w:rsidR="00462263" w:rsidRPr="00DF6F45">
        <w:rPr>
          <w:lang w:val="en-US" w:eastAsia="ko-KR"/>
        </w:rPr>
        <w:t xml:space="preserve">s may be independent. </w:t>
      </w:r>
    </w:p>
    <w:p w14:paraId="5AF00FA0" w14:textId="0FAC9F35" w:rsidR="00080649" w:rsidRPr="00DF6F45" w:rsidRDefault="00080649" w:rsidP="0091658D">
      <w:pPr>
        <w:spacing w:line="288" w:lineRule="auto"/>
        <w:jc w:val="both"/>
        <w:rPr>
          <w:lang w:val="en-US" w:eastAsia="ko-KR"/>
        </w:rPr>
      </w:pPr>
      <w:r w:rsidRPr="00DF6F45">
        <w:rPr>
          <w:lang w:val="en-US" w:eastAsia="ko-KR"/>
        </w:rPr>
        <w:t xml:space="preserve">For the case of initial access, </w:t>
      </w:r>
      <w:r w:rsidR="00286FB5" w:rsidRPr="00DF6F45">
        <w:rPr>
          <w:lang w:val="en-US" w:eastAsia="ko-KR"/>
        </w:rPr>
        <w:t>no indication of BWP is necessary. The CORESET location for the RMSI</w:t>
      </w:r>
      <w:r w:rsidR="008C12C0">
        <w:rPr>
          <w:lang w:val="en-US" w:eastAsia="ko-KR"/>
        </w:rPr>
        <w:t xml:space="preserve"> </w:t>
      </w:r>
      <w:proofErr w:type="spellStart"/>
      <w:r w:rsidR="008C12C0">
        <w:rPr>
          <w:lang w:val="en-US" w:eastAsia="ko-KR"/>
        </w:rPr>
        <w:t>scheudling</w:t>
      </w:r>
      <w:proofErr w:type="spellEnd"/>
      <w:r w:rsidR="00286FB5" w:rsidRPr="00DF6F45">
        <w:rPr>
          <w:lang w:val="en-US" w:eastAsia="ko-KR"/>
        </w:rPr>
        <w:t xml:space="preserve"> can be indicated</w:t>
      </w:r>
      <w:r w:rsidR="008C12C0">
        <w:rPr>
          <w:lang w:val="en-US" w:eastAsia="ko-KR"/>
        </w:rPr>
        <w:t xml:space="preserve"> by PBCH</w:t>
      </w:r>
      <w:r w:rsidR="00286FB5" w:rsidRPr="00DF6F45">
        <w:rPr>
          <w:lang w:val="en-US" w:eastAsia="ko-KR"/>
        </w:rPr>
        <w:t xml:space="preserve"> as an offset from the SS block center (in terms of RB’s or absolute frequency location); the </w:t>
      </w:r>
      <w:r w:rsidR="008C12C0">
        <w:rPr>
          <w:lang w:val="en-US" w:eastAsia="ko-KR"/>
        </w:rPr>
        <w:t xml:space="preserve">frequency resource for </w:t>
      </w:r>
      <w:r w:rsidR="00286FB5" w:rsidRPr="00DF6F45">
        <w:rPr>
          <w:lang w:val="en-US" w:eastAsia="ko-KR"/>
        </w:rPr>
        <w:t>PDSCH</w:t>
      </w:r>
      <w:r w:rsidR="008C12C0">
        <w:rPr>
          <w:lang w:val="en-US" w:eastAsia="ko-KR"/>
        </w:rPr>
        <w:t xml:space="preserve"> conveying RMSI </w:t>
      </w:r>
      <w:r w:rsidR="00286FB5" w:rsidRPr="00DF6F45">
        <w:rPr>
          <w:lang w:val="en-US" w:eastAsia="ko-KR"/>
        </w:rPr>
        <w:t xml:space="preserve">is </w:t>
      </w:r>
      <w:r w:rsidR="008C12C0">
        <w:rPr>
          <w:lang w:val="en-US" w:eastAsia="ko-KR"/>
        </w:rPr>
        <w:t>scheduled by</w:t>
      </w:r>
      <w:r w:rsidR="00286FB5" w:rsidRPr="00DF6F45">
        <w:rPr>
          <w:lang w:val="en-US" w:eastAsia="ko-KR"/>
        </w:rPr>
        <w:t xml:space="preserve"> PDCCH </w:t>
      </w:r>
      <w:r w:rsidR="008C12C0">
        <w:rPr>
          <w:lang w:val="en-US" w:eastAsia="ko-KR"/>
        </w:rPr>
        <w:t>mapped on the CORESET</w:t>
      </w:r>
      <w:r w:rsidR="00286FB5" w:rsidRPr="00DF6F45">
        <w:rPr>
          <w:lang w:val="en-US" w:eastAsia="ko-KR"/>
        </w:rPr>
        <w:t xml:space="preserve">. The RACH configuration indicates the time/frequency resources where the UE can perform RACH and these can be indicated again as an offset from the RMSI location or from the SS block locations. </w:t>
      </w:r>
      <w:r w:rsidR="000B6724" w:rsidRPr="00DF6F45">
        <w:rPr>
          <w:lang w:val="en-US" w:eastAsia="ko-KR"/>
        </w:rPr>
        <w:t>For each step of the RACH procedure, the locations for RAR (can be same as RMSI CORESET), Msg4</w:t>
      </w:r>
      <w:r w:rsidR="008C12C0">
        <w:rPr>
          <w:lang w:val="en-US" w:eastAsia="ko-KR"/>
        </w:rPr>
        <w:t>,</w:t>
      </w:r>
      <w:r w:rsidR="000B6724" w:rsidRPr="00DF6F45">
        <w:rPr>
          <w:lang w:val="en-US" w:eastAsia="ko-KR"/>
        </w:rPr>
        <w:t xml:space="preserve"> </w:t>
      </w:r>
      <w:proofErr w:type="spellStart"/>
      <w:r w:rsidR="000B6724" w:rsidRPr="00DF6F45">
        <w:rPr>
          <w:lang w:val="en-US" w:eastAsia="ko-KR"/>
        </w:rPr>
        <w:t>etc</w:t>
      </w:r>
      <w:proofErr w:type="spellEnd"/>
      <w:r w:rsidR="000B6724" w:rsidRPr="00DF6F45">
        <w:rPr>
          <w:lang w:val="en-US" w:eastAsia="ko-KR"/>
        </w:rPr>
        <w:t xml:space="preserve"> can be indicated via previous steps in initial access. Hence, we believe that no special indications for the BWP is needed during the initial access stages. </w:t>
      </w:r>
    </w:p>
    <w:p w14:paraId="7219D036" w14:textId="33C929A1" w:rsidR="00F60E5D" w:rsidRPr="00DF6F45" w:rsidRDefault="00F60E5D">
      <w:pPr>
        <w:spacing w:line="288" w:lineRule="auto"/>
        <w:jc w:val="both"/>
        <w:rPr>
          <w:b/>
          <w:i/>
          <w:lang w:val="en-US" w:eastAsia="ko-KR"/>
        </w:rPr>
      </w:pPr>
      <w:r w:rsidRPr="00DF6F45">
        <w:rPr>
          <w:b/>
          <w:i/>
          <w:lang w:val="en-US" w:eastAsia="ko-KR"/>
        </w:rPr>
        <w:t xml:space="preserve">Proposal </w:t>
      </w:r>
      <w:r w:rsidR="00FB48FE" w:rsidRPr="00DF6F45">
        <w:rPr>
          <w:b/>
          <w:i/>
          <w:lang w:val="en-US" w:eastAsia="ko-KR"/>
        </w:rPr>
        <w:t xml:space="preserve">1: </w:t>
      </w:r>
      <w:r w:rsidRPr="00DF6F45">
        <w:rPr>
          <w:b/>
          <w:i/>
          <w:lang w:val="en-US" w:eastAsia="ko-KR"/>
        </w:rPr>
        <w:t>Support UE specific default/anchor BWP.</w:t>
      </w:r>
    </w:p>
    <w:p w14:paraId="7E72DBA4" w14:textId="474ECF25" w:rsidR="00F31D37" w:rsidRPr="00DF6F45" w:rsidRDefault="00F31D37">
      <w:pPr>
        <w:spacing w:line="288" w:lineRule="auto"/>
        <w:jc w:val="both"/>
        <w:rPr>
          <w:b/>
          <w:i/>
          <w:lang w:val="en-US" w:eastAsia="ko-KR"/>
        </w:rPr>
      </w:pPr>
      <w:r w:rsidRPr="00DF6F45">
        <w:rPr>
          <w:b/>
          <w:i/>
          <w:lang w:val="en-US" w:eastAsia="ko-KR"/>
        </w:rPr>
        <w:t xml:space="preserve">Proposal </w:t>
      </w:r>
      <w:r w:rsidR="00FB48FE" w:rsidRPr="00DF6F45">
        <w:rPr>
          <w:b/>
          <w:i/>
          <w:lang w:val="en-US" w:eastAsia="ko-KR"/>
        </w:rPr>
        <w:t xml:space="preserve">2: </w:t>
      </w:r>
      <w:r w:rsidRPr="00DF6F45">
        <w:rPr>
          <w:b/>
          <w:i/>
          <w:lang w:val="en-US" w:eastAsia="ko-KR"/>
        </w:rPr>
        <w:t>No indication regarding BWP</w:t>
      </w:r>
      <w:r w:rsidR="007266B0" w:rsidRPr="00DF6F45">
        <w:rPr>
          <w:b/>
          <w:i/>
          <w:lang w:val="en-US" w:eastAsia="ko-KR"/>
        </w:rPr>
        <w:t xml:space="preserve"> (or default BWP)</w:t>
      </w:r>
      <w:r w:rsidRPr="00DF6F45">
        <w:rPr>
          <w:b/>
          <w:i/>
          <w:lang w:val="en-US" w:eastAsia="ko-KR"/>
        </w:rPr>
        <w:t xml:space="preserve"> is needed in PBCH</w:t>
      </w:r>
      <w:r w:rsidR="000C2638" w:rsidRPr="00DF6F45">
        <w:rPr>
          <w:b/>
          <w:i/>
          <w:lang w:val="en-US" w:eastAsia="ko-KR"/>
        </w:rPr>
        <w:t xml:space="preserve"> and during initial access phase</w:t>
      </w:r>
      <w:r w:rsidRPr="00DF6F45">
        <w:rPr>
          <w:b/>
          <w:i/>
          <w:lang w:val="en-US" w:eastAsia="ko-KR"/>
        </w:rPr>
        <w:t xml:space="preserve">. </w:t>
      </w:r>
    </w:p>
    <w:p w14:paraId="705DB692" w14:textId="77777777" w:rsidR="00D60C01" w:rsidRPr="00DF6F45" w:rsidRDefault="00D60C01">
      <w:pPr>
        <w:spacing w:line="288" w:lineRule="auto"/>
        <w:jc w:val="both"/>
        <w:rPr>
          <w:b/>
          <w:i/>
          <w:lang w:val="en-US" w:eastAsia="ko-KR"/>
        </w:rPr>
      </w:pPr>
      <w:r w:rsidRPr="00DF6F45">
        <w:rPr>
          <w:b/>
          <w:i/>
          <w:lang w:val="en-US" w:eastAsia="ko-KR"/>
        </w:rPr>
        <w:t xml:space="preserve">Proposal 3: The size of the default BWP can be same as the minimum channel BW supported by all NR UEs. </w:t>
      </w:r>
    </w:p>
    <w:p w14:paraId="55AF77C9" w14:textId="797EB009" w:rsidR="0052482A" w:rsidRPr="003B77F5" w:rsidRDefault="00E3529A" w:rsidP="003B77F5">
      <w:pPr>
        <w:pStyle w:val="Heading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3B77F5">
        <w:rPr>
          <w:szCs w:val="20"/>
          <w:lang w:val="en-US"/>
        </w:rPr>
        <w:t>BWP Activation</w:t>
      </w:r>
    </w:p>
    <w:p w14:paraId="43208A36" w14:textId="0D4B0119" w:rsidR="00110710" w:rsidRPr="00DF6F45" w:rsidRDefault="0090243A">
      <w:pPr>
        <w:spacing w:after="0" w:line="288" w:lineRule="auto"/>
        <w:jc w:val="both"/>
        <w:rPr>
          <w:rFonts w:eastAsiaTheme="minorEastAsia"/>
          <w:lang w:val="en-US" w:eastAsia="ko-KR"/>
        </w:rPr>
      </w:pPr>
      <w:r w:rsidRPr="00DF6F45">
        <w:rPr>
          <w:rFonts w:eastAsiaTheme="minorEastAsia"/>
          <w:lang w:val="en-US" w:eastAsia="ko-KR"/>
        </w:rPr>
        <w:t xml:space="preserve">Following </w:t>
      </w:r>
      <w:r w:rsidR="00110710" w:rsidRPr="00DF6F45">
        <w:rPr>
          <w:rFonts w:eastAsiaTheme="minorEastAsia"/>
          <w:lang w:val="en-US" w:eastAsia="ko-KR"/>
        </w:rPr>
        <w:t>options were identified for the indication of active DL/UL bandwidth part(s)</w:t>
      </w:r>
      <w:r w:rsidRPr="00DF6F45">
        <w:rPr>
          <w:rFonts w:eastAsiaTheme="minorEastAsia"/>
          <w:lang w:val="en-US" w:eastAsia="ko-KR"/>
        </w:rPr>
        <w:t xml:space="preserve"> apart from the RRC-based indication which is already agreed to be supported</w:t>
      </w:r>
    </w:p>
    <w:p w14:paraId="526324D7" w14:textId="60400558" w:rsidR="00110710" w:rsidRPr="00DF6F45" w:rsidRDefault="00110710">
      <w:pPr>
        <w:pStyle w:val="ListParagraph"/>
        <w:numPr>
          <w:ilvl w:val="0"/>
          <w:numId w:val="12"/>
        </w:numPr>
        <w:spacing w:after="0" w:line="288" w:lineRule="auto"/>
        <w:ind w:leftChars="0"/>
        <w:jc w:val="both"/>
        <w:rPr>
          <w:rFonts w:eastAsiaTheme="minorEastAsia"/>
          <w:lang w:val="en-US" w:eastAsia="ko-KR"/>
        </w:rPr>
      </w:pPr>
      <w:r w:rsidRPr="00DF6F45">
        <w:rPr>
          <w:rFonts w:eastAsiaTheme="minorEastAsia"/>
          <w:lang w:val="en-US" w:eastAsia="ko-KR"/>
        </w:rPr>
        <w:t xml:space="preserve">Option #1: DCI (explicitly and/or implicitly) </w:t>
      </w:r>
      <w:r w:rsidR="0090243A" w:rsidRPr="00DF6F45">
        <w:rPr>
          <w:rFonts w:eastAsiaTheme="minorEastAsia"/>
          <w:lang w:val="en-US" w:eastAsia="ko-KR"/>
        </w:rPr>
        <w:t>or MAC CE</w:t>
      </w:r>
    </w:p>
    <w:p w14:paraId="40892EA3" w14:textId="1175D4F5" w:rsidR="00110710" w:rsidRPr="00DF6F45" w:rsidRDefault="00110710">
      <w:pPr>
        <w:pStyle w:val="ListParagraph"/>
        <w:numPr>
          <w:ilvl w:val="0"/>
          <w:numId w:val="12"/>
        </w:numPr>
        <w:spacing w:after="0" w:line="288" w:lineRule="auto"/>
        <w:ind w:leftChars="0"/>
        <w:jc w:val="both"/>
        <w:rPr>
          <w:rFonts w:eastAsiaTheme="minorEastAsia"/>
          <w:lang w:val="en-US" w:eastAsia="ko-KR"/>
        </w:rPr>
      </w:pPr>
      <w:r w:rsidRPr="00DF6F45">
        <w:rPr>
          <w:rFonts w:eastAsiaTheme="minorEastAsia"/>
          <w:lang w:val="en-US" w:eastAsia="ko-KR"/>
        </w:rPr>
        <w:t xml:space="preserve">Option #2: </w:t>
      </w:r>
      <w:r w:rsidR="0090243A" w:rsidRPr="00DF6F45">
        <w:rPr>
          <w:rFonts w:eastAsiaTheme="minorEastAsia"/>
          <w:lang w:val="en-US" w:eastAsia="ko-KR"/>
        </w:rPr>
        <w:t>Timer-based</w:t>
      </w:r>
    </w:p>
    <w:p w14:paraId="69CEF795" w14:textId="77777777" w:rsidR="00110710" w:rsidRPr="00DF6F45" w:rsidRDefault="00110710">
      <w:pPr>
        <w:pStyle w:val="ListParagraph"/>
        <w:numPr>
          <w:ilvl w:val="0"/>
          <w:numId w:val="12"/>
        </w:numPr>
        <w:spacing w:line="288" w:lineRule="auto"/>
        <w:ind w:leftChars="0" w:hanging="357"/>
        <w:jc w:val="both"/>
        <w:rPr>
          <w:rFonts w:eastAsiaTheme="minorEastAsia"/>
          <w:lang w:val="en-US" w:eastAsia="ko-KR"/>
        </w:rPr>
      </w:pPr>
      <w:r w:rsidRPr="00DF6F45">
        <w:rPr>
          <w:rFonts w:eastAsiaTheme="minorEastAsia"/>
          <w:lang w:val="en-US" w:eastAsia="ko-KR"/>
        </w:rPr>
        <w:t>Option #3: Time pattern (e.g. DRX like)</w:t>
      </w:r>
    </w:p>
    <w:p w14:paraId="7C9358E0" w14:textId="6C646F72" w:rsidR="00821377" w:rsidRPr="00DF6F45" w:rsidRDefault="00B018F9">
      <w:pPr>
        <w:spacing w:before="60" w:line="288" w:lineRule="auto"/>
        <w:jc w:val="both"/>
        <w:rPr>
          <w:lang w:val="en-US" w:eastAsia="ko-KR"/>
        </w:rPr>
      </w:pPr>
      <w:r w:rsidRPr="00D42139">
        <w:rPr>
          <w:lang w:val="en-US" w:eastAsia="ko-KR"/>
        </w:rPr>
        <w:lastRenderedPageBreak/>
        <w:t>For Option#1, e</w:t>
      </w:r>
      <w:r w:rsidR="00F46EF2" w:rsidRPr="00D42139">
        <w:rPr>
          <w:lang w:val="en-US" w:eastAsia="ko-KR"/>
        </w:rPr>
        <w:t xml:space="preserve">xplicit DCI </w:t>
      </w:r>
      <w:r w:rsidRPr="00DF6F45">
        <w:rPr>
          <w:lang w:val="en-US" w:eastAsia="ko-KR"/>
        </w:rPr>
        <w:t xml:space="preserve">can </w:t>
      </w:r>
      <w:r w:rsidR="00F46EF2" w:rsidRPr="00DF6F45">
        <w:rPr>
          <w:lang w:val="en-US" w:eastAsia="ko-KR"/>
        </w:rPr>
        <w:t>indicat</w:t>
      </w:r>
      <w:r w:rsidRPr="00DF6F45">
        <w:rPr>
          <w:lang w:val="en-US" w:eastAsia="ko-KR"/>
        </w:rPr>
        <w:t>e</w:t>
      </w:r>
      <w:r w:rsidR="00F46EF2" w:rsidRPr="00DF6F45">
        <w:rPr>
          <w:lang w:val="en-US" w:eastAsia="ko-KR"/>
        </w:rPr>
        <w:t xml:space="preserve"> the center frequency or starting RB of the configured BWP </w:t>
      </w:r>
      <w:r w:rsidRPr="00DF6F45">
        <w:rPr>
          <w:lang w:val="en-US" w:eastAsia="ko-KR"/>
        </w:rPr>
        <w:t>to</w:t>
      </w:r>
      <w:r w:rsidR="00F46EF2" w:rsidRPr="00DF6F45">
        <w:rPr>
          <w:lang w:val="en-US" w:eastAsia="ko-KR"/>
        </w:rPr>
        <w:t xml:space="preserve"> be activated</w:t>
      </w:r>
      <w:r w:rsidR="009B455C" w:rsidRPr="00DF6F45">
        <w:rPr>
          <w:lang w:val="en-US" w:eastAsia="ko-KR"/>
        </w:rPr>
        <w:t>.</w:t>
      </w:r>
      <w:r w:rsidR="004A7B87" w:rsidRPr="00DF6F45">
        <w:rPr>
          <w:lang w:val="en-US" w:eastAsia="ko-KR"/>
        </w:rPr>
        <w:t xml:space="preserve"> </w:t>
      </w:r>
      <w:r w:rsidR="00B6405A" w:rsidRPr="00DF6F45">
        <w:rPr>
          <w:lang w:val="en-US" w:eastAsia="ko-KR"/>
        </w:rPr>
        <w:t>Implicit method can work when the UE fall</w:t>
      </w:r>
      <w:r w:rsidR="007566F7" w:rsidRPr="00DF6F45">
        <w:rPr>
          <w:lang w:val="en-US" w:eastAsia="ko-KR"/>
        </w:rPr>
        <w:t>s</w:t>
      </w:r>
      <w:r w:rsidR="00F049EC" w:rsidRPr="00DF6F45">
        <w:rPr>
          <w:lang w:val="en-US" w:eastAsia="ko-KR"/>
        </w:rPr>
        <w:t xml:space="preserve"> </w:t>
      </w:r>
      <w:r w:rsidR="00B6405A" w:rsidRPr="00DF6F45">
        <w:rPr>
          <w:lang w:val="en-US" w:eastAsia="ko-KR"/>
        </w:rPr>
        <w:t xml:space="preserve">back, e.g., by associating resource allocation filed in scheduling assignment. </w:t>
      </w:r>
      <w:r w:rsidR="00F049EC" w:rsidRPr="00DF6F45">
        <w:rPr>
          <w:lang w:val="en-US" w:eastAsia="ko-KR"/>
        </w:rPr>
        <w:t>In o</w:t>
      </w:r>
      <w:r w:rsidR="0052201F" w:rsidRPr="00DF6F45">
        <w:rPr>
          <w:lang w:val="en-US" w:eastAsia="ko-KR"/>
        </w:rPr>
        <w:t>rder to avoid any potential mis</w:t>
      </w:r>
      <w:r w:rsidR="00F049EC" w:rsidRPr="00DF6F45">
        <w:rPr>
          <w:lang w:val="en-US" w:eastAsia="ko-KR"/>
        </w:rPr>
        <w:t xml:space="preserve">understanding between the UE and gNB, explicit DCI signaling is preferable. </w:t>
      </w:r>
    </w:p>
    <w:p w14:paraId="21FD3BB1" w14:textId="032F83AF" w:rsidR="00AB2B77" w:rsidRPr="00DF6F45" w:rsidRDefault="002B75CB">
      <w:pPr>
        <w:spacing w:before="60" w:line="288" w:lineRule="auto"/>
        <w:jc w:val="both"/>
        <w:rPr>
          <w:lang w:val="en-US" w:eastAsia="ko-KR"/>
        </w:rPr>
      </w:pPr>
      <w:r>
        <w:rPr>
          <w:lang w:val="en-US" w:eastAsia="ko-KR"/>
        </w:rPr>
        <w:t>For</w:t>
      </w:r>
      <w:r w:rsidRPr="00DF6F45">
        <w:rPr>
          <w:lang w:val="en-US" w:eastAsia="ko-KR"/>
        </w:rPr>
        <w:t xml:space="preserve"> </w:t>
      </w:r>
      <w:r w:rsidR="00AB2B77" w:rsidRPr="00DF6F45">
        <w:rPr>
          <w:lang w:val="en-US" w:eastAsia="ko-KR"/>
        </w:rPr>
        <w:t xml:space="preserve">DCI based indication </w:t>
      </w:r>
      <w:r>
        <w:rPr>
          <w:lang w:val="en-US" w:eastAsia="ko-KR"/>
        </w:rPr>
        <w:t xml:space="preserve">and </w:t>
      </w:r>
      <w:r w:rsidR="001A0C06" w:rsidRPr="00DF6F45">
        <w:rPr>
          <w:lang w:val="en-US" w:eastAsia="ko-KR"/>
        </w:rPr>
        <w:t>MAC CE signaling</w:t>
      </w:r>
      <w:r>
        <w:rPr>
          <w:lang w:val="en-US" w:eastAsia="ko-KR"/>
        </w:rPr>
        <w:t>, there is a tradeoff in terms of fast signaling and reliability</w:t>
      </w:r>
      <w:r w:rsidR="001A0C06" w:rsidRPr="00DF6F45">
        <w:rPr>
          <w:lang w:val="en-US" w:eastAsia="ko-KR"/>
        </w:rPr>
        <w:t xml:space="preserve">. </w:t>
      </w:r>
      <w:proofErr w:type="spellStart"/>
      <w:r w:rsidR="0053045B">
        <w:rPr>
          <w:lang w:val="en-US" w:eastAsia="ko-KR"/>
        </w:rPr>
        <w:t>DCi</w:t>
      </w:r>
      <w:proofErr w:type="spellEnd"/>
      <w:r w:rsidR="0053045B">
        <w:rPr>
          <w:lang w:val="en-US" w:eastAsia="ko-KR"/>
        </w:rPr>
        <w:t xml:space="preserve"> based indication is fast and supports fast BW adaption. On the other hand, MAC CE signaling is slower but is more reliable. </w:t>
      </w:r>
      <w:r w:rsidR="0053045B" w:rsidRPr="00DF6F45">
        <w:rPr>
          <w:lang w:val="en-US" w:eastAsia="ko-KR"/>
        </w:rPr>
        <w:t xml:space="preserve">Hence to allow for dynamic BW adaption, to get full benefits of this flexible BW, to allow for forward compatibility, it is preferred to support DCI-based BWP activation for NR. </w:t>
      </w:r>
      <w:r w:rsidR="00264026" w:rsidRPr="00DF6F45">
        <w:rPr>
          <w:lang w:val="en-US" w:eastAsia="ko-KR"/>
        </w:rPr>
        <w:t xml:space="preserve">When a UE misses the DCI </w:t>
      </w:r>
      <w:r>
        <w:rPr>
          <w:lang w:val="en-US" w:eastAsia="ko-KR"/>
        </w:rPr>
        <w:t>indicating</w:t>
      </w:r>
      <w:r w:rsidR="00264026" w:rsidRPr="00DF6F45">
        <w:rPr>
          <w:lang w:val="en-US" w:eastAsia="ko-KR"/>
        </w:rPr>
        <w:t xml:space="preserve"> to switch to a wider BWP, after a timer expiry, the UE can monitor the previously monitored narrow BWP and after a second timer expiry it can move to the default BWP. Such mechanisms may be defined for the UE to allow for fallback modes of operations. </w:t>
      </w:r>
    </w:p>
    <w:p w14:paraId="4C46D4DB" w14:textId="5FA9A7E5" w:rsidR="00D465AC" w:rsidRPr="00DF6F45" w:rsidRDefault="00D465AC">
      <w:pPr>
        <w:spacing w:before="60" w:line="288" w:lineRule="auto"/>
        <w:jc w:val="both"/>
        <w:rPr>
          <w:b/>
          <w:i/>
          <w:lang w:val="en-US" w:eastAsia="ko-KR"/>
        </w:rPr>
      </w:pPr>
      <w:r w:rsidRPr="00DF6F45">
        <w:rPr>
          <w:b/>
          <w:i/>
          <w:lang w:val="en-US" w:eastAsia="ko-KR"/>
        </w:rPr>
        <w:t>Proposal</w:t>
      </w:r>
      <w:r w:rsidR="002A2071">
        <w:rPr>
          <w:b/>
          <w:i/>
          <w:lang w:val="en-US" w:eastAsia="ko-KR"/>
        </w:rPr>
        <w:t xml:space="preserve"> 4</w:t>
      </w:r>
      <w:r w:rsidRPr="00DF6F45">
        <w:rPr>
          <w:b/>
          <w:i/>
          <w:lang w:val="en-US" w:eastAsia="ko-KR"/>
        </w:rPr>
        <w:t>: Support DCI-based activation mechanisms for BWP</w:t>
      </w:r>
      <w:r w:rsidR="003F3F94" w:rsidRPr="00DF6F45">
        <w:rPr>
          <w:b/>
          <w:i/>
          <w:lang w:val="en-US" w:eastAsia="ko-KR"/>
        </w:rPr>
        <w:t xml:space="preserve"> along with timer-based mechanisms to allow for fallback mode operations.</w:t>
      </w:r>
    </w:p>
    <w:p w14:paraId="5C5D8768" w14:textId="0B658EBD" w:rsidR="00733642" w:rsidRPr="00DF6F45" w:rsidRDefault="00F46EF2">
      <w:pPr>
        <w:spacing w:before="60" w:line="288" w:lineRule="auto"/>
        <w:jc w:val="both"/>
        <w:rPr>
          <w:lang w:val="en-US" w:eastAsia="ko-KR"/>
        </w:rPr>
      </w:pPr>
      <w:r w:rsidRPr="00DF6F45">
        <w:rPr>
          <w:lang w:val="en-US" w:eastAsia="ko-KR"/>
        </w:rPr>
        <w:t xml:space="preserve">Time-pattern based mechanisms </w:t>
      </w:r>
      <w:r w:rsidR="002C6C30" w:rsidRPr="00DF6F45">
        <w:rPr>
          <w:lang w:val="en-US" w:eastAsia="ko-KR"/>
        </w:rPr>
        <w:t>such as SPS</w:t>
      </w:r>
      <w:r w:rsidR="00B6405A" w:rsidRPr="00DF6F45">
        <w:rPr>
          <w:lang w:val="en-US" w:eastAsia="ko-KR"/>
        </w:rPr>
        <w:t>-like</w:t>
      </w:r>
      <w:r w:rsidR="002C6C30" w:rsidRPr="00DF6F45">
        <w:rPr>
          <w:lang w:val="en-US" w:eastAsia="ko-KR"/>
        </w:rPr>
        <w:t xml:space="preserve"> or DR</w:t>
      </w:r>
      <w:r w:rsidR="00B6405A" w:rsidRPr="00DF6F45">
        <w:rPr>
          <w:lang w:val="en-US" w:eastAsia="ko-KR"/>
        </w:rPr>
        <w:t>X-like</w:t>
      </w:r>
      <w:r w:rsidR="002C6C30" w:rsidRPr="00DF6F45">
        <w:rPr>
          <w:lang w:val="en-US" w:eastAsia="ko-KR"/>
        </w:rPr>
        <w:t xml:space="preserve"> may also be used. </w:t>
      </w:r>
      <w:r w:rsidR="00D80CC3" w:rsidRPr="00DF6F45">
        <w:rPr>
          <w:lang w:val="en-US" w:eastAsia="ko-KR"/>
        </w:rPr>
        <w:t xml:space="preserve">Such time-pattern mechanisms can ease the signaling overhead between gNB and UE. However, </w:t>
      </w:r>
      <w:r w:rsidR="007A2CF4" w:rsidRPr="00DF6F45">
        <w:rPr>
          <w:lang w:val="en-US" w:eastAsia="ko-KR"/>
        </w:rPr>
        <w:t>UE</w:t>
      </w:r>
      <w:r w:rsidR="00D80CC3" w:rsidRPr="00DF6F45">
        <w:rPr>
          <w:lang w:val="en-US" w:eastAsia="ko-KR"/>
        </w:rPr>
        <w:t xml:space="preserve"> power consumption caused </w:t>
      </w:r>
      <w:r w:rsidR="007A2CF4" w:rsidRPr="00DF6F45">
        <w:rPr>
          <w:lang w:val="en-US" w:eastAsia="ko-KR"/>
        </w:rPr>
        <w:t>by</w:t>
      </w:r>
      <w:r w:rsidR="00D80CC3" w:rsidRPr="00DF6F45">
        <w:rPr>
          <w:lang w:val="en-US" w:eastAsia="ko-KR"/>
        </w:rPr>
        <w:t xml:space="preserve"> un-necessary </w:t>
      </w:r>
      <w:r w:rsidR="007A2CF4" w:rsidRPr="00DF6F45">
        <w:rPr>
          <w:lang w:val="en-US" w:eastAsia="ko-KR"/>
        </w:rPr>
        <w:t>re</w:t>
      </w:r>
      <w:r w:rsidR="00D80CC3" w:rsidRPr="00DF6F45">
        <w:rPr>
          <w:lang w:val="en-US" w:eastAsia="ko-KR"/>
        </w:rPr>
        <w:t>tuning of the wider BWP for a long time duration</w:t>
      </w:r>
      <w:r w:rsidR="007A2CF4" w:rsidRPr="00DF6F45">
        <w:rPr>
          <w:lang w:val="en-US" w:eastAsia="ko-KR"/>
        </w:rPr>
        <w:t xml:space="preserve"> should be taken care of</w:t>
      </w:r>
      <w:r w:rsidR="00D80CC3" w:rsidRPr="00DF6F45">
        <w:rPr>
          <w:lang w:val="en-US" w:eastAsia="ko-KR"/>
        </w:rPr>
        <w:t xml:space="preserve">. </w:t>
      </w:r>
      <w:r w:rsidR="0098013A" w:rsidRPr="00DF6F45">
        <w:rPr>
          <w:lang w:val="en-US" w:eastAsia="ko-KR"/>
        </w:rPr>
        <w:t>Further</w:t>
      </w:r>
      <w:r w:rsidR="003C244B">
        <w:rPr>
          <w:lang w:val="en-US" w:eastAsia="ko-KR"/>
        </w:rPr>
        <w:t>,</w:t>
      </w:r>
      <w:r w:rsidR="0098013A" w:rsidRPr="00DF6F45">
        <w:rPr>
          <w:lang w:val="en-US" w:eastAsia="ko-KR"/>
        </w:rPr>
        <w:t xml:space="preserve"> some UE behavior </w:t>
      </w:r>
      <w:r w:rsidR="007A2CF4" w:rsidRPr="00DF6F45">
        <w:rPr>
          <w:lang w:val="en-US" w:eastAsia="ko-KR"/>
        </w:rPr>
        <w:t>should</w:t>
      </w:r>
      <w:r w:rsidR="0098013A" w:rsidRPr="00DF6F45">
        <w:rPr>
          <w:lang w:val="en-US" w:eastAsia="ko-KR"/>
        </w:rPr>
        <w:t xml:space="preserve"> be specified if the UE receives a DCI based activation while it is following the previously indicated timer-based mechanism. </w:t>
      </w:r>
    </w:p>
    <w:p w14:paraId="3CD96583" w14:textId="756FF044" w:rsidR="00B81AA4" w:rsidRPr="00DF6F45" w:rsidRDefault="00B81AA4">
      <w:pPr>
        <w:spacing w:before="60" w:line="288" w:lineRule="auto"/>
        <w:jc w:val="both"/>
        <w:rPr>
          <w:b/>
          <w:i/>
          <w:lang w:val="en-US" w:eastAsia="ko-KR"/>
        </w:rPr>
      </w:pPr>
      <w:r w:rsidRPr="00DF6F45">
        <w:rPr>
          <w:b/>
          <w:i/>
          <w:lang w:val="en-US" w:eastAsia="ko-KR"/>
        </w:rPr>
        <w:t>Observation</w:t>
      </w:r>
      <w:r w:rsidR="002A2071">
        <w:rPr>
          <w:b/>
          <w:i/>
          <w:lang w:val="en-US" w:eastAsia="ko-KR"/>
        </w:rPr>
        <w:t xml:space="preserve"> 1</w:t>
      </w:r>
      <w:r w:rsidRPr="00DF6F45">
        <w:rPr>
          <w:b/>
          <w:i/>
          <w:lang w:val="en-US" w:eastAsia="ko-KR"/>
        </w:rPr>
        <w:t xml:space="preserve">: UE behavior </w:t>
      </w:r>
      <w:r w:rsidR="007A2CF4" w:rsidRPr="00DF6F45">
        <w:rPr>
          <w:b/>
          <w:i/>
          <w:lang w:val="en-US" w:eastAsia="ko-KR"/>
        </w:rPr>
        <w:t>should</w:t>
      </w:r>
      <w:r w:rsidRPr="00DF6F45">
        <w:rPr>
          <w:b/>
          <w:i/>
          <w:lang w:val="en-US" w:eastAsia="ko-KR"/>
        </w:rPr>
        <w:t xml:space="preserve"> be specified in case </w:t>
      </w:r>
      <w:r w:rsidR="007A2CF4" w:rsidRPr="00DF6F45">
        <w:rPr>
          <w:b/>
          <w:i/>
          <w:lang w:val="en-US" w:eastAsia="ko-KR"/>
        </w:rPr>
        <w:t xml:space="preserve">that </w:t>
      </w:r>
      <w:r w:rsidRPr="00DF6F45">
        <w:rPr>
          <w:b/>
          <w:i/>
          <w:lang w:val="en-US" w:eastAsia="ko-KR"/>
        </w:rPr>
        <w:t xml:space="preserve">a DCI based BWP related command is received </w:t>
      </w:r>
      <w:r w:rsidR="00E26189" w:rsidRPr="00DF6F45">
        <w:rPr>
          <w:b/>
          <w:i/>
          <w:lang w:val="en-US" w:eastAsia="ko-KR"/>
        </w:rPr>
        <w:t xml:space="preserve">when </w:t>
      </w:r>
      <w:r w:rsidRPr="00DF6F45">
        <w:rPr>
          <w:b/>
          <w:i/>
          <w:lang w:val="en-US" w:eastAsia="ko-KR"/>
        </w:rPr>
        <w:t>UE is following the timer.</w:t>
      </w:r>
    </w:p>
    <w:p w14:paraId="1212587A" w14:textId="0A9AF32E" w:rsidR="00B6559C" w:rsidRPr="00DF6F45" w:rsidRDefault="00B6559C">
      <w:pPr>
        <w:spacing w:before="60" w:line="288" w:lineRule="auto"/>
        <w:jc w:val="both"/>
        <w:rPr>
          <w:b/>
          <w:i/>
          <w:lang w:val="en-US" w:eastAsia="ko-KR"/>
        </w:rPr>
      </w:pPr>
      <w:r w:rsidRPr="00DF6F45">
        <w:rPr>
          <w:b/>
          <w:i/>
          <w:lang w:val="en-US" w:eastAsia="ko-KR"/>
        </w:rPr>
        <w:t>Proposal</w:t>
      </w:r>
      <w:r w:rsidR="002A2071">
        <w:rPr>
          <w:b/>
          <w:i/>
          <w:lang w:val="en-US" w:eastAsia="ko-KR"/>
        </w:rPr>
        <w:t xml:space="preserve"> 5</w:t>
      </w:r>
      <w:r w:rsidRPr="00DF6F45">
        <w:rPr>
          <w:b/>
          <w:i/>
          <w:lang w:val="en-US" w:eastAsia="ko-KR"/>
        </w:rPr>
        <w:t>: NR supports time pattern-based BWP activation</w:t>
      </w:r>
      <w:r w:rsidR="00092290" w:rsidRPr="00DF6F45">
        <w:rPr>
          <w:b/>
          <w:i/>
          <w:lang w:val="en-US" w:eastAsia="ko-KR"/>
        </w:rPr>
        <w:t>.</w:t>
      </w:r>
    </w:p>
    <w:p w14:paraId="0B208FD4" w14:textId="7625EB0D" w:rsidR="00733642" w:rsidRPr="00DF6F45" w:rsidRDefault="00904D72">
      <w:pPr>
        <w:spacing w:before="60" w:line="288" w:lineRule="auto"/>
        <w:jc w:val="both"/>
        <w:rPr>
          <w:lang w:val="en-US" w:eastAsia="ko-KR"/>
        </w:rPr>
      </w:pPr>
      <w:r w:rsidRPr="00DF6F45">
        <w:rPr>
          <w:lang w:val="en-US" w:eastAsia="ko-KR"/>
        </w:rPr>
        <w:t>Regardless of above options, upon gNB indication of active BWP(s), UE confirmation would be needed in order to avoid any potential misalignment between gNB and UE.</w:t>
      </w:r>
    </w:p>
    <w:p w14:paraId="5B8A60D9" w14:textId="77777777" w:rsidR="00110710" w:rsidRPr="00DF6F45" w:rsidRDefault="00110710">
      <w:pPr>
        <w:spacing w:before="60" w:line="288" w:lineRule="auto"/>
        <w:jc w:val="both"/>
        <w:rPr>
          <w:lang w:val="en-US" w:eastAsia="ko-KR"/>
        </w:rPr>
      </w:pPr>
      <w:r w:rsidRPr="00DF6F45">
        <w:rPr>
          <w:lang w:val="en-US" w:eastAsia="ko-KR"/>
        </w:rPr>
        <w:t>In order to accommodate the transition time for UE bandwidth adaptation/BWP activation, the timing gap between UE reception of the indication and its application should be wide enough. The minimum required timing gap would depend on specific operation scenario. For example, as RAN4 pointed out, the total transition time should include AGC settling time in case of multiple-carrier operation. Flexible timing control can be supported via timing indication in the DCI (both same-slot and cross-slot scheduling).</w:t>
      </w:r>
    </w:p>
    <w:p w14:paraId="48054AA5" w14:textId="40CB8AB3" w:rsidR="003D424E" w:rsidRPr="00D42139" w:rsidRDefault="00110710">
      <w:pPr>
        <w:spacing w:line="288" w:lineRule="auto"/>
        <w:jc w:val="both"/>
        <w:rPr>
          <w:b/>
          <w:i/>
          <w:lang w:val="en-US" w:eastAsia="ko-KR"/>
        </w:rPr>
      </w:pPr>
      <w:r w:rsidRPr="00DF6F45">
        <w:rPr>
          <w:lang w:val="en-US" w:eastAsia="ko-KR"/>
        </w:rPr>
        <w:t>Further, slot format may impact the timing. For instance, when slot n contains both DL and UL part and UE receives the indication of bandwidth adaptation at slot n, the UE may need to suspend the bandwidth adaptation until the end of UL part for potential UL transmission.</w:t>
      </w:r>
    </w:p>
    <w:p w14:paraId="122AE55C" w14:textId="624A37C2" w:rsidR="00881404" w:rsidRPr="00D42139" w:rsidRDefault="00881404" w:rsidP="003B77F5">
      <w:pPr>
        <w:pStyle w:val="Heading2"/>
        <w:numPr>
          <w:ilvl w:val="1"/>
          <w:numId w:val="2"/>
        </w:numPr>
        <w:jc w:val="both"/>
        <w:rPr>
          <w:lang w:val="en-US"/>
        </w:rPr>
      </w:pPr>
      <w:r w:rsidRPr="00D42139">
        <w:rPr>
          <w:lang w:val="en-US"/>
        </w:rPr>
        <w:t xml:space="preserve">DCI Design for </w:t>
      </w:r>
      <w:r w:rsidR="00A465FF" w:rsidRPr="00D42139">
        <w:rPr>
          <w:rFonts w:hint="eastAsia"/>
          <w:lang w:val="en-US"/>
        </w:rPr>
        <w:t xml:space="preserve">dynamic </w:t>
      </w:r>
      <w:r w:rsidRPr="00D42139">
        <w:rPr>
          <w:lang w:val="en-US"/>
        </w:rPr>
        <w:t>BWP Activation</w:t>
      </w:r>
    </w:p>
    <w:p w14:paraId="20D2230A" w14:textId="5F358641" w:rsidR="00522508" w:rsidRPr="00DF6F45" w:rsidRDefault="00522508" w:rsidP="00092290">
      <w:pPr>
        <w:ind w:firstLine="200"/>
        <w:jc w:val="both"/>
        <w:rPr>
          <w:lang w:val="en-US" w:eastAsia="ko-KR"/>
        </w:rPr>
      </w:pPr>
      <w:r w:rsidRPr="00DF6F45">
        <w:rPr>
          <w:rFonts w:hint="eastAsia"/>
          <w:lang w:val="en-US" w:eastAsia="ko-KR"/>
        </w:rPr>
        <w:t>Regarding DCI design for dynamic BWP activation, following two ways can be considered.</w:t>
      </w:r>
    </w:p>
    <w:p w14:paraId="534B40EC" w14:textId="2CD11555" w:rsidR="00522508" w:rsidRPr="00DF6F45" w:rsidRDefault="00A17801" w:rsidP="00092290">
      <w:pPr>
        <w:ind w:leftChars="100" w:left="200"/>
        <w:jc w:val="both"/>
        <w:rPr>
          <w:lang w:val="en-US" w:eastAsia="ko-KR"/>
        </w:rPr>
      </w:pPr>
      <w:r w:rsidRPr="00DF6F45">
        <w:rPr>
          <w:rFonts w:hint="eastAsia"/>
          <w:lang w:val="en-US" w:eastAsia="ko-KR"/>
        </w:rPr>
        <w:t>Alt</w:t>
      </w:r>
      <w:r w:rsidR="003E4E89" w:rsidRPr="00DF6F45">
        <w:rPr>
          <w:rFonts w:hint="eastAsia"/>
          <w:lang w:val="en-US" w:eastAsia="ko-KR"/>
        </w:rPr>
        <w:t xml:space="preserve"> </w:t>
      </w:r>
      <w:r w:rsidR="00522508" w:rsidRPr="00DF6F45">
        <w:rPr>
          <w:rFonts w:hint="eastAsia"/>
          <w:lang w:val="en-US" w:eastAsia="ko-KR"/>
        </w:rPr>
        <w:t xml:space="preserve">1) </w:t>
      </w:r>
      <w:r w:rsidR="00522508" w:rsidRPr="00DF6F45">
        <w:rPr>
          <w:lang w:val="en-US" w:eastAsia="ko-KR"/>
        </w:rPr>
        <w:t>Separate DCI des</w:t>
      </w:r>
      <w:r w:rsidRPr="00DF6F45">
        <w:rPr>
          <w:lang w:val="en-US" w:eastAsia="ko-KR"/>
        </w:rPr>
        <w:t>ign for switching</w:t>
      </w:r>
    </w:p>
    <w:p w14:paraId="25D5E440" w14:textId="775C9FC5" w:rsidR="00522508" w:rsidRPr="00DF6F45" w:rsidRDefault="00A17801" w:rsidP="00092290">
      <w:pPr>
        <w:ind w:leftChars="100" w:left="200"/>
        <w:jc w:val="both"/>
        <w:rPr>
          <w:lang w:val="en-US" w:eastAsia="ko-KR"/>
        </w:rPr>
      </w:pPr>
      <w:r w:rsidRPr="00DF6F45">
        <w:rPr>
          <w:rFonts w:hint="eastAsia"/>
          <w:lang w:val="en-US" w:eastAsia="ko-KR"/>
        </w:rPr>
        <w:t>Alt</w:t>
      </w:r>
      <w:r w:rsidR="003E4E89" w:rsidRPr="00DF6F45">
        <w:rPr>
          <w:rFonts w:hint="eastAsia"/>
          <w:lang w:val="en-US" w:eastAsia="ko-KR"/>
        </w:rPr>
        <w:t xml:space="preserve"> </w:t>
      </w:r>
      <w:r w:rsidR="00522508" w:rsidRPr="00DF6F45">
        <w:rPr>
          <w:rFonts w:hint="eastAsia"/>
          <w:lang w:val="en-US" w:eastAsia="ko-KR"/>
        </w:rPr>
        <w:t xml:space="preserve">2) </w:t>
      </w:r>
      <w:r w:rsidR="00522508" w:rsidRPr="00DF6F45">
        <w:rPr>
          <w:lang w:val="en-US" w:eastAsia="ko-KR"/>
        </w:rPr>
        <w:t>Joint DCI design for switching and scheduling</w:t>
      </w:r>
    </w:p>
    <w:p w14:paraId="27BDADD3" w14:textId="4A4B2990" w:rsidR="00522508" w:rsidRPr="00D42139" w:rsidRDefault="00522508" w:rsidP="00092290">
      <w:pPr>
        <w:spacing w:line="288" w:lineRule="auto"/>
        <w:ind w:firstLine="198"/>
        <w:jc w:val="both"/>
        <w:rPr>
          <w:lang w:val="en-US" w:eastAsia="ko-KR"/>
        </w:rPr>
      </w:pPr>
      <w:r w:rsidRPr="00DF6F45">
        <w:rPr>
          <w:rFonts w:hint="eastAsia"/>
          <w:lang w:val="en-US" w:eastAsia="ko-KR"/>
        </w:rPr>
        <w:t>For Alt 1, a new DCI format should be introduced for dynamic BWP indication which is separately designed with scheduling DCI. A UE configured by multiple BWPs allowing dynamic BWP activation has to keep monitor</w:t>
      </w:r>
      <w:r w:rsidR="004A4B41">
        <w:rPr>
          <w:lang w:val="en-US" w:eastAsia="ko-KR"/>
        </w:rPr>
        <w:t>ing</w:t>
      </w:r>
      <w:r w:rsidRPr="00DF6F45">
        <w:rPr>
          <w:rFonts w:hint="eastAsia"/>
          <w:lang w:val="en-US" w:eastAsia="ko-KR"/>
        </w:rPr>
        <w:t xml:space="preserve"> the DCI format corresponding to BWP </w:t>
      </w:r>
      <w:r w:rsidRPr="00DF6F45">
        <w:rPr>
          <w:lang w:val="en-US" w:eastAsia="ko-KR"/>
        </w:rPr>
        <w:t>switching</w:t>
      </w:r>
      <w:r w:rsidRPr="00DF6F45">
        <w:rPr>
          <w:rFonts w:hint="eastAsia"/>
          <w:lang w:val="en-US" w:eastAsia="ko-KR"/>
        </w:rPr>
        <w:t xml:space="preserve">. </w:t>
      </w:r>
      <w:r w:rsidR="004A4B41">
        <w:rPr>
          <w:lang w:val="en-US" w:eastAsia="ko-KR"/>
        </w:rPr>
        <w:t>In order</w:t>
      </w:r>
      <w:r w:rsidR="00A17801" w:rsidRPr="00DF6F45">
        <w:rPr>
          <w:rFonts w:hint="eastAsia"/>
          <w:lang w:val="en-US" w:eastAsia="ko-KR"/>
        </w:rPr>
        <w:t xml:space="preserve"> </w:t>
      </w:r>
      <w:r w:rsidR="004A4B41">
        <w:rPr>
          <w:lang w:val="en-US" w:eastAsia="ko-KR"/>
        </w:rPr>
        <w:t>t</w:t>
      </w:r>
      <w:r w:rsidR="00A17801" w:rsidRPr="00DF6F45">
        <w:rPr>
          <w:rFonts w:hint="eastAsia"/>
          <w:lang w:val="en-US" w:eastAsia="ko-KR"/>
        </w:rPr>
        <w:t xml:space="preserve">o minimize or maintain the number of blind decoding, several solutions can be considered. </w:t>
      </w:r>
      <w:r w:rsidR="002138A4" w:rsidRPr="00DF6F45">
        <w:rPr>
          <w:rFonts w:hint="eastAsia"/>
          <w:lang w:val="en-US" w:eastAsia="ko-KR"/>
        </w:rPr>
        <w:t>A</w:t>
      </w:r>
      <w:r w:rsidR="00436134" w:rsidRPr="00DF6F45">
        <w:rPr>
          <w:rFonts w:hint="eastAsia"/>
          <w:lang w:val="en-US" w:eastAsia="ko-KR"/>
        </w:rPr>
        <w:t xml:space="preserve">s </w:t>
      </w:r>
      <w:r w:rsidR="003E4E89" w:rsidRPr="00DF6F45">
        <w:rPr>
          <w:rFonts w:hint="eastAsia"/>
          <w:lang w:val="en-US" w:eastAsia="ko-KR"/>
        </w:rPr>
        <w:t>Alt 1-1</w:t>
      </w:r>
      <w:r w:rsidR="00436134" w:rsidRPr="00DF6F45">
        <w:rPr>
          <w:rFonts w:hint="eastAsia"/>
          <w:lang w:val="en-US" w:eastAsia="ko-KR"/>
        </w:rPr>
        <w:t>, a sequence-based DCI indicating BWP switching can be transmitted in the fixed</w:t>
      </w:r>
      <w:r w:rsidR="006B3968" w:rsidRPr="00DF6F45">
        <w:rPr>
          <w:rFonts w:hint="eastAsia"/>
          <w:lang w:val="en-US" w:eastAsia="ko-KR"/>
        </w:rPr>
        <w:t xml:space="preserve"> or </w:t>
      </w:r>
      <w:r w:rsidR="00436134" w:rsidRPr="00DF6F45">
        <w:rPr>
          <w:lang w:val="en-US" w:eastAsia="ko-KR"/>
        </w:rPr>
        <w:t>pre</w:t>
      </w:r>
      <w:r w:rsidR="006B3968" w:rsidRPr="00DF6F45">
        <w:rPr>
          <w:rFonts w:hint="eastAsia"/>
          <w:lang w:val="en-US" w:eastAsia="ko-KR"/>
        </w:rPr>
        <w:t>-</w:t>
      </w:r>
      <w:r w:rsidR="00436134" w:rsidRPr="00DF6F45">
        <w:rPr>
          <w:lang w:val="en-US" w:eastAsia="ko-KR"/>
        </w:rPr>
        <w:t>configured time and frequency resources.</w:t>
      </w:r>
      <w:r w:rsidR="003D69EB" w:rsidRPr="00DF6F45">
        <w:rPr>
          <w:rFonts w:hint="eastAsia"/>
          <w:lang w:val="en-US" w:eastAsia="ko-KR"/>
        </w:rPr>
        <w:t xml:space="preserve"> The computational complexity is reduced for sequence-based DCI compared to channel coding-based DCI.</w:t>
      </w:r>
      <w:r w:rsidR="00436134" w:rsidRPr="00DF6F45">
        <w:rPr>
          <w:lang w:val="en-US" w:eastAsia="ko-KR"/>
        </w:rPr>
        <w:t xml:space="preserve"> </w:t>
      </w:r>
      <w:r w:rsidR="003D69EB" w:rsidRPr="00DF6F45">
        <w:rPr>
          <w:rFonts w:hint="eastAsia"/>
          <w:lang w:val="en-US" w:eastAsia="ko-KR"/>
        </w:rPr>
        <w:t>Further, v</w:t>
      </w:r>
      <w:r w:rsidR="00436134" w:rsidRPr="00DF6F45">
        <w:rPr>
          <w:rFonts w:hint="eastAsia"/>
          <w:lang w:val="en-US" w:eastAsia="ko-KR"/>
        </w:rPr>
        <w:t xml:space="preserve">ery tiny bits such as 1 or 2-bit will be enough to indicate BWP activation. </w:t>
      </w:r>
      <w:r w:rsidR="006B3968" w:rsidRPr="00DF6F45">
        <w:rPr>
          <w:rFonts w:hint="eastAsia"/>
          <w:lang w:val="en-US" w:eastAsia="ko-KR"/>
        </w:rPr>
        <w:t>For this small size bits,</w:t>
      </w:r>
      <w:r w:rsidR="00436134" w:rsidRPr="00DF6F45">
        <w:rPr>
          <w:rFonts w:hint="eastAsia"/>
          <w:lang w:val="en-US" w:eastAsia="ko-KR"/>
        </w:rPr>
        <w:t xml:space="preserve"> sequence-based DCI </w:t>
      </w:r>
      <w:r w:rsidR="006B3968" w:rsidRPr="00DF6F45">
        <w:rPr>
          <w:rFonts w:hint="eastAsia"/>
          <w:lang w:val="en-US" w:eastAsia="ko-KR"/>
        </w:rPr>
        <w:t xml:space="preserve">can </w:t>
      </w:r>
      <w:r w:rsidR="003D69EB" w:rsidRPr="00DF6F45">
        <w:rPr>
          <w:rFonts w:hint="eastAsia"/>
          <w:lang w:val="en-US" w:eastAsia="ko-KR"/>
        </w:rPr>
        <w:t xml:space="preserve">outperform the </w:t>
      </w:r>
      <w:r w:rsidR="00436134" w:rsidRPr="00DF6F45">
        <w:rPr>
          <w:rFonts w:hint="eastAsia"/>
          <w:lang w:val="en-US" w:eastAsia="ko-KR"/>
        </w:rPr>
        <w:t>channel coding-based DCI</w:t>
      </w:r>
      <w:r w:rsidR="006B3968" w:rsidRPr="00DF6F45">
        <w:rPr>
          <w:rFonts w:hint="eastAsia"/>
          <w:lang w:val="en-US" w:eastAsia="ko-KR"/>
        </w:rPr>
        <w:t xml:space="preserve"> in terms of BLER performance</w:t>
      </w:r>
      <w:r w:rsidR="00436134" w:rsidRPr="00DF6F45">
        <w:rPr>
          <w:rFonts w:hint="eastAsia"/>
          <w:lang w:val="en-US" w:eastAsia="ko-KR"/>
        </w:rPr>
        <w:t xml:space="preserve">. However, there is inherent problem of false alarm due to </w:t>
      </w:r>
      <w:r w:rsidR="00436134" w:rsidRPr="00DF6F45">
        <w:rPr>
          <w:lang w:val="en-US" w:eastAsia="ko-KR"/>
        </w:rPr>
        <w:t>absence</w:t>
      </w:r>
      <w:r w:rsidR="00436134" w:rsidRPr="00DF6F45">
        <w:rPr>
          <w:rFonts w:hint="eastAsia"/>
          <w:lang w:val="en-US" w:eastAsia="ko-KR"/>
        </w:rPr>
        <w:t xml:space="preserve"> of CRC.</w:t>
      </w:r>
      <w:r w:rsidR="00C322EA" w:rsidRPr="00DF6F45">
        <w:rPr>
          <w:rFonts w:hint="eastAsia"/>
          <w:lang w:val="en-US" w:eastAsia="ko-KR"/>
        </w:rPr>
        <w:t xml:space="preserve"> </w:t>
      </w:r>
      <w:r w:rsidR="006B3968" w:rsidRPr="00DF6F45">
        <w:rPr>
          <w:rFonts w:hint="eastAsia"/>
          <w:lang w:val="en-US" w:eastAsia="ko-KR"/>
        </w:rPr>
        <w:t xml:space="preserve">As </w:t>
      </w:r>
      <w:r w:rsidR="003E4E89" w:rsidRPr="00DF6F45">
        <w:rPr>
          <w:rFonts w:hint="eastAsia"/>
          <w:lang w:val="en-US" w:eastAsia="ko-KR"/>
        </w:rPr>
        <w:t>Alt 1-2</w:t>
      </w:r>
      <w:r w:rsidR="006B3968" w:rsidRPr="00DF6F45">
        <w:rPr>
          <w:rFonts w:hint="eastAsia"/>
          <w:lang w:val="en-US" w:eastAsia="ko-KR"/>
        </w:rPr>
        <w:t xml:space="preserve">, </w:t>
      </w:r>
      <w:r w:rsidR="00A17801" w:rsidRPr="00DF6F45">
        <w:rPr>
          <w:rFonts w:hint="eastAsia"/>
          <w:lang w:val="en-US" w:eastAsia="ko-KR"/>
        </w:rPr>
        <w:t xml:space="preserve">DCI for BWP switching can be </w:t>
      </w:r>
      <w:r w:rsidR="00A17801" w:rsidRPr="00DF6F45">
        <w:rPr>
          <w:lang w:val="en-US" w:eastAsia="ko-KR"/>
        </w:rPr>
        <w:t>transmitted</w:t>
      </w:r>
      <w:r w:rsidR="00A17801" w:rsidRPr="00DF6F45">
        <w:rPr>
          <w:rFonts w:hint="eastAsia"/>
          <w:lang w:val="en-US" w:eastAsia="ko-KR"/>
        </w:rPr>
        <w:t xml:space="preserve"> in the fixed location within a given search space with a fixed aggregation level. Then, a UE does not need to blindly </w:t>
      </w:r>
      <w:r w:rsidR="006B3968" w:rsidRPr="00DF6F45">
        <w:rPr>
          <w:rFonts w:hint="eastAsia"/>
          <w:lang w:val="en-US" w:eastAsia="ko-KR"/>
        </w:rPr>
        <w:t xml:space="preserve">search </w:t>
      </w:r>
      <w:r w:rsidR="00436134" w:rsidRPr="00DF6F45">
        <w:rPr>
          <w:rFonts w:hint="eastAsia"/>
          <w:lang w:val="en-US" w:eastAsia="ko-KR"/>
        </w:rPr>
        <w:t>a number of PDCCH candidates</w:t>
      </w:r>
      <w:r w:rsidR="00A17801" w:rsidRPr="00DF6F45">
        <w:rPr>
          <w:rFonts w:hint="eastAsia"/>
          <w:lang w:val="en-US" w:eastAsia="ko-KR"/>
        </w:rPr>
        <w:t xml:space="preserve"> for detecting th</w:t>
      </w:r>
      <w:r w:rsidR="006B3968" w:rsidRPr="00DF6F45">
        <w:rPr>
          <w:rFonts w:hint="eastAsia"/>
          <w:lang w:val="en-US" w:eastAsia="ko-KR"/>
        </w:rPr>
        <w:t xml:space="preserve">e DCI format </w:t>
      </w:r>
      <w:r w:rsidR="006B3968" w:rsidRPr="00DF6F45">
        <w:rPr>
          <w:lang w:val="en-US" w:eastAsia="ko-KR"/>
        </w:rPr>
        <w:t>corresponding</w:t>
      </w:r>
      <w:r w:rsidR="006B3968" w:rsidRPr="00DF6F45">
        <w:rPr>
          <w:rFonts w:hint="eastAsia"/>
          <w:lang w:val="en-US" w:eastAsia="ko-KR"/>
        </w:rPr>
        <w:t xml:space="preserve"> to</w:t>
      </w:r>
      <w:r w:rsidR="00A17801" w:rsidRPr="00DF6F45">
        <w:rPr>
          <w:rFonts w:hint="eastAsia"/>
          <w:lang w:val="en-US" w:eastAsia="ko-KR"/>
        </w:rPr>
        <w:t xml:space="preserve"> BWP switching. However, using fixed location </w:t>
      </w:r>
      <w:r w:rsidR="00436134" w:rsidRPr="00DF6F45">
        <w:rPr>
          <w:rFonts w:hint="eastAsia"/>
          <w:lang w:val="en-US" w:eastAsia="ko-KR"/>
        </w:rPr>
        <w:t>can degrade the det</w:t>
      </w:r>
      <w:r w:rsidR="006B3968" w:rsidRPr="00DF6F45">
        <w:rPr>
          <w:rFonts w:hint="eastAsia"/>
          <w:lang w:val="en-US" w:eastAsia="ko-KR"/>
        </w:rPr>
        <w:t xml:space="preserve">ection performance of the DCI. Also, too much overhead of CRC </w:t>
      </w:r>
      <w:r w:rsidR="006B3968" w:rsidRPr="00DF6F45">
        <w:rPr>
          <w:lang w:val="en-US" w:eastAsia="ko-KR"/>
        </w:rPr>
        <w:t>compared</w:t>
      </w:r>
      <w:r w:rsidR="006B3968" w:rsidRPr="00DF6F45">
        <w:rPr>
          <w:rFonts w:hint="eastAsia"/>
          <w:lang w:val="en-US" w:eastAsia="ko-KR"/>
        </w:rPr>
        <w:t xml:space="preserve"> to </w:t>
      </w:r>
      <w:r w:rsidR="006B3968" w:rsidRPr="00DF6F45">
        <w:rPr>
          <w:rFonts w:hint="eastAsia"/>
          <w:lang w:val="en-US" w:eastAsia="ko-KR"/>
        </w:rPr>
        <w:lastRenderedPageBreak/>
        <w:t>payload size is expected</w:t>
      </w:r>
      <w:r w:rsidR="00033D4F" w:rsidRPr="00DF6F45">
        <w:rPr>
          <w:lang w:val="en-US" w:eastAsia="ko-KR"/>
        </w:rPr>
        <w:t xml:space="preserve"> (</w:t>
      </w:r>
      <w:r w:rsidR="00033D4F" w:rsidRPr="00D42139">
        <w:rPr>
          <w:lang w:eastAsia="ko-KR"/>
        </w:rPr>
        <w:t xml:space="preserve">BWP switching indicator will just require only few bits and CRC length would be </w:t>
      </w:r>
      <w:r w:rsidR="00604549">
        <w:rPr>
          <w:lang w:eastAsia="ko-KR"/>
        </w:rPr>
        <w:t>e.g.,</w:t>
      </w:r>
      <w:r w:rsidR="00604549" w:rsidRPr="00D42139">
        <w:rPr>
          <w:lang w:eastAsia="ko-KR"/>
        </w:rPr>
        <w:t xml:space="preserve"> </w:t>
      </w:r>
      <w:r w:rsidR="00033D4F" w:rsidRPr="00D42139">
        <w:rPr>
          <w:lang w:eastAsia="ko-KR"/>
        </w:rPr>
        <w:t>16 bits.</w:t>
      </w:r>
      <w:r w:rsidR="00033D4F" w:rsidRPr="00D42139">
        <w:rPr>
          <w:lang w:val="en-US" w:eastAsia="ko-KR"/>
        </w:rPr>
        <w:t>)</w:t>
      </w:r>
      <w:r w:rsidR="006B3968" w:rsidRPr="00D42139">
        <w:rPr>
          <w:rFonts w:hint="eastAsia"/>
          <w:lang w:val="en-US" w:eastAsia="ko-KR"/>
        </w:rPr>
        <w:t>.</w:t>
      </w:r>
      <w:r w:rsidR="00C322EA" w:rsidRPr="00D42139">
        <w:rPr>
          <w:rFonts w:hint="eastAsia"/>
          <w:lang w:val="en-US" w:eastAsia="ko-KR"/>
        </w:rPr>
        <w:t xml:space="preserve"> </w:t>
      </w:r>
      <w:r w:rsidR="006B3968" w:rsidRPr="00D42139">
        <w:rPr>
          <w:rFonts w:hint="eastAsia"/>
          <w:lang w:val="en-US" w:eastAsia="ko-KR"/>
        </w:rPr>
        <w:t xml:space="preserve">As </w:t>
      </w:r>
      <w:r w:rsidR="003E4E89" w:rsidRPr="00D42139">
        <w:rPr>
          <w:rFonts w:hint="eastAsia"/>
          <w:lang w:val="en-US" w:eastAsia="ko-KR"/>
        </w:rPr>
        <w:t>Alt 1-3</w:t>
      </w:r>
      <w:r w:rsidR="006B3968" w:rsidRPr="00D42139">
        <w:rPr>
          <w:rFonts w:hint="eastAsia"/>
          <w:lang w:val="en-US" w:eastAsia="ko-KR"/>
        </w:rPr>
        <w:t xml:space="preserve">, the size of DCI format for BWP switching can be designed to be </w:t>
      </w:r>
      <w:r w:rsidR="006B3968" w:rsidRPr="00DF6F45">
        <w:rPr>
          <w:rFonts w:hint="eastAsia"/>
          <w:lang w:val="en-US" w:eastAsia="ko-KR"/>
        </w:rPr>
        <w:t xml:space="preserve">the same with other scheduling DCI </w:t>
      </w:r>
      <w:r w:rsidR="006B3968" w:rsidRPr="00DF6F45">
        <w:rPr>
          <w:lang w:val="en-US" w:eastAsia="ko-KR"/>
        </w:rPr>
        <w:t>format</w:t>
      </w:r>
      <w:r w:rsidR="006B3968" w:rsidRPr="00DF6F45">
        <w:rPr>
          <w:rFonts w:hint="eastAsia"/>
          <w:lang w:val="en-US" w:eastAsia="ko-KR"/>
        </w:rPr>
        <w:t xml:space="preserve">. To distinguish between </w:t>
      </w:r>
      <w:r w:rsidR="006B3968" w:rsidRPr="00DF6F45">
        <w:rPr>
          <w:lang w:val="en-US" w:eastAsia="ko-KR"/>
        </w:rPr>
        <w:t>switching</w:t>
      </w:r>
      <w:r w:rsidR="006B3968" w:rsidRPr="00DF6F45">
        <w:rPr>
          <w:rFonts w:hint="eastAsia"/>
          <w:lang w:val="en-US" w:eastAsia="ko-KR"/>
        </w:rPr>
        <w:t xml:space="preserve"> DCI and scheduling DCI, additional DCI field can be introduced for DCI format flag. Or, CRC bits can be scrambled with different RNTI.</w:t>
      </w:r>
      <w:r w:rsidR="00C322EA" w:rsidRPr="00DF6F45">
        <w:rPr>
          <w:rFonts w:hint="eastAsia"/>
          <w:lang w:val="en-US" w:eastAsia="ko-KR"/>
        </w:rPr>
        <w:t xml:space="preserve"> However, it is inefficient to fit the </w:t>
      </w:r>
      <w:r w:rsidR="00E610B4" w:rsidRPr="00DF6F45">
        <w:rPr>
          <w:rFonts w:hint="eastAsia"/>
          <w:lang w:val="en-US" w:eastAsia="ko-KR"/>
        </w:rPr>
        <w:t xml:space="preserve">very </w:t>
      </w:r>
      <w:r w:rsidR="00E610B4" w:rsidRPr="00DF6F45">
        <w:rPr>
          <w:lang w:val="en-US" w:eastAsia="ko-KR"/>
        </w:rPr>
        <w:t>small</w:t>
      </w:r>
      <w:r w:rsidR="00E610B4" w:rsidRPr="00DF6F45">
        <w:rPr>
          <w:rFonts w:hint="eastAsia"/>
          <w:lang w:val="en-US" w:eastAsia="ko-KR"/>
        </w:rPr>
        <w:t xml:space="preserve"> </w:t>
      </w:r>
      <w:r w:rsidR="00C322EA" w:rsidRPr="00DF6F45">
        <w:rPr>
          <w:rFonts w:hint="eastAsia"/>
          <w:lang w:val="en-US" w:eastAsia="ko-KR"/>
        </w:rPr>
        <w:t xml:space="preserve">size of DCI for switching into </w:t>
      </w:r>
      <w:r w:rsidR="00E610B4" w:rsidRPr="00DF6F45">
        <w:rPr>
          <w:rFonts w:hint="eastAsia"/>
          <w:lang w:val="en-US" w:eastAsia="ko-KR"/>
        </w:rPr>
        <w:t xml:space="preserve">relatively </w:t>
      </w:r>
      <w:r w:rsidR="00C322EA" w:rsidRPr="00DF6F45">
        <w:rPr>
          <w:rFonts w:hint="eastAsia"/>
          <w:lang w:val="en-US" w:eastAsia="ko-KR"/>
        </w:rPr>
        <w:t>long</w:t>
      </w:r>
      <w:r w:rsidR="00E610B4" w:rsidRPr="00DF6F45">
        <w:rPr>
          <w:rFonts w:hint="eastAsia"/>
          <w:lang w:val="en-US" w:eastAsia="ko-KR"/>
        </w:rPr>
        <w:t xml:space="preserve"> size of DCI for scheduling</w:t>
      </w:r>
      <w:r w:rsidR="00033D4F" w:rsidRPr="00DF6F45">
        <w:rPr>
          <w:lang w:val="en-US" w:eastAsia="ko-KR"/>
        </w:rPr>
        <w:t xml:space="preserve"> i.e., to fit the small contents needed for switching purposes into some existing DCI format (for example due to overhead reasons as mentioned above)</w:t>
      </w:r>
      <w:r w:rsidR="00033D4F" w:rsidRPr="00DF6F45">
        <w:rPr>
          <w:rFonts w:hint="eastAsia"/>
          <w:lang w:val="en-US" w:eastAsia="ko-KR"/>
        </w:rPr>
        <w:t>.</w:t>
      </w:r>
    </w:p>
    <w:p w14:paraId="215CEBBD" w14:textId="7E39196E" w:rsidR="0028411D" w:rsidRPr="00D42139" w:rsidRDefault="00C322EA" w:rsidP="00092290">
      <w:pPr>
        <w:spacing w:line="288" w:lineRule="auto"/>
        <w:ind w:firstLine="198"/>
        <w:jc w:val="both"/>
        <w:rPr>
          <w:lang w:val="en-US" w:eastAsia="ko-KR"/>
        </w:rPr>
      </w:pPr>
      <w:r w:rsidRPr="00DF6F45">
        <w:rPr>
          <w:rFonts w:hint="eastAsia"/>
          <w:lang w:val="en-US" w:eastAsia="ko-KR"/>
        </w:rPr>
        <w:t xml:space="preserve">For Alt 2, a DCI </w:t>
      </w:r>
      <w:r w:rsidR="006C3C0F" w:rsidRPr="00DF6F45">
        <w:rPr>
          <w:lang w:val="en-US" w:eastAsia="ko-KR"/>
        </w:rPr>
        <w:t>field</w:t>
      </w:r>
      <w:r w:rsidRPr="00DF6F45">
        <w:rPr>
          <w:rFonts w:hint="eastAsia"/>
          <w:lang w:val="en-US" w:eastAsia="ko-KR"/>
        </w:rPr>
        <w:t xml:space="preserve"> indicating BWP </w:t>
      </w:r>
      <w:r w:rsidRPr="00DF6F45">
        <w:rPr>
          <w:lang w:val="en-US" w:eastAsia="ko-KR"/>
        </w:rPr>
        <w:t>switching</w:t>
      </w:r>
      <w:r w:rsidRPr="00DF6F45">
        <w:rPr>
          <w:rFonts w:hint="eastAsia"/>
          <w:lang w:val="en-US" w:eastAsia="ko-KR"/>
        </w:rPr>
        <w:t xml:space="preserve"> can be added in the scheduling DCI</w:t>
      </w:r>
      <w:r w:rsidR="003E4E89" w:rsidRPr="00DF6F45">
        <w:rPr>
          <w:rFonts w:hint="eastAsia"/>
          <w:lang w:val="en-US" w:eastAsia="ko-KR"/>
        </w:rPr>
        <w:t xml:space="preserve">. </w:t>
      </w:r>
      <w:r w:rsidR="00490FDE" w:rsidRPr="00DF6F45">
        <w:rPr>
          <w:rFonts w:hint="eastAsia"/>
          <w:lang w:val="en-US" w:eastAsia="ko-KR"/>
        </w:rPr>
        <w:t xml:space="preserve">At a cost of </w:t>
      </w:r>
      <w:r w:rsidR="00490FDE" w:rsidRPr="00DF6F45">
        <w:rPr>
          <w:lang w:val="en-US" w:eastAsia="ko-KR"/>
        </w:rPr>
        <w:t>increment</w:t>
      </w:r>
      <w:r w:rsidR="00490FDE" w:rsidRPr="00DF6F45">
        <w:rPr>
          <w:rFonts w:hint="eastAsia"/>
          <w:lang w:val="en-US" w:eastAsia="ko-KR"/>
        </w:rPr>
        <w:t xml:space="preserve"> </w:t>
      </w:r>
      <w:r w:rsidR="00B63D99" w:rsidRPr="00DF6F45">
        <w:rPr>
          <w:rFonts w:hint="eastAsia"/>
          <w:lang w:val="en-US" w:eastAsia="ko-KR"/>
        </w:rPr>
        <w:t>in</w:t>
      </w:r>
      <w:r w:rsidR="00490FDE" w:rsidRPr="00DF6F45">
        <w:rPr>
          <w:rFonts w:hint="eastAsia"/>
          <w:lang w:val="en-US" w:eastAsia="ko-KR"/>
        </w:rPr>
        <w:t xml:space="preserve"> DCI size, the </w:t>
      </w:r>
      <w:r w:rsidR="00B63D99" w:rsidRPr="00DF6F45">
        <w:rPr>
          <w:rFonts w:hint="eastAsia"/>
          <w:lang w:val="en-US" w:eastAsia="ko-KR"/>
        </w:rPr>
        <w:t xml:space="preserve">total </w:t>
      </w:r>
      <w:r w:rsidR="00490FDE" w:rsidRPr="00DF6F45">
        <w:rPr>
          <w:rFonts w:hint="eastAsia"/>
          <w:lang w:val="en-US" w:eastAsia="ko-KR"/>
        </w:rPr>
        <w:t xml:space="preserve">number of blind decoding </w:t>
      </w:r>
      <w:r w:rsidR="00B63D99" w:rsidRPr="00DF6F45">
        <w:rPr>
          <w:rFonts w:hint="eastAsia"/>
          <w:lang w:val="en-US" w:eastAsia="ko-KR"/>
        </w:rPr>
        <w:t>are not affected</w:t>
      </w:r>
      <w:r w:rsidR="00490FDE" w:rsidRPr="00DF6F45">
        <w:rPr>
          <w:rFonts w:hint="eastAsia"/>
          <w:lang w:val="en-US" w:eastAsia="ko-KR"/>
        </w:rPr>
        <w:t xml:space="preserve">. </w:t>
      </w:r>
      <w:r w:rsidR="003E4E89" w:rsidRPr="00DF6F45">
        <w:rPr>
          <w:rFonts w:hint="eastAsia"/>
          <w:lang w:val="en-US" w:eastAsia="ko-KR"/>
        </w:rPr>
        <w:t>There are two possible alternatives inserting</w:t>
      </w:r>
      <w:r w:rsidR="00B63D99" w:rsidRPr="00DF6F45">
        <w:rPr>
          <w:rFonts w:hint="eastAsia"/>
          <w:lang w:val="en-US" w:eastAsia="ko-KR"/>
        </w:rPr>
        <w:t xml:space="preserve"> BWP indicator</w:t>
      </w:r>
      <w:r w:rsidR="003E4E89" w:rsidRPr="00DF6F45">
        <w:rPr>
          <w:rFonts w:hint="eastAsia"/>
          <w:lang w:val="en-US" w:eastAsia="ko-KR"/>
        </w:rPr>
        <w:t xml:space="preserve"> </w:t>
      </w:r>
      <w:r w:rsidR="00CC4BAC" w:rsidRPr="00DF6F45">
        <w:rPr>
          <w:lang w:val="en-US" w:eastAsia="ko-KR"/>
        </w:rPr>
        <w:t>field</w:t>
      </w:r>
      <w:r w:rsidR="003E4E89" w:rsidRPr="00DF6F45">
        <w:rPr>
          <w:rFonts w:hint="eastAsia"/>
          <w:lang w:val="en-US" w:eastAsia="ko-KR"/>
        </w:rPr>
        <w:t xml:space="preserve"> (BIF) considering relationship with carrier indicator field (CIF) as shown in Figure 1. As Alt 2-1, BIF can be inserted independently with CIF. The CIF may </w:t>
      </w:r>
      <w:r w:rsidR="003E4E89" w:rsidRPr="00DF6F45">
        <w:rPr>
          <w:lang w:val="en-US" w:eastAsia="ko-KR"/>
        </w:rPr>
        <w:t>indicate</w:t>
      </w:r>
      <w:r w:rsidR="003E4E89" w:rsidRPr="00DF6F45">
        <w:rPr>
          <w:rFonts w:hint="eastAsia"/>
          <w:lang w:val="en-US" w:eastAsia="ko-KR"/>
        </w:rPr>
        <w:t xml:space="preserve"> one of the CCs </w:t>
      </w:r>
      <w:r w:rsidR="0028411D" w:rsidRPr="00DF6F45">
        <w:rPr>
          <w:rFonts w:hint="eastAsia"/>
          <w:lang w:val="en-US" w:eastAsia="ko-KR"/>
        </w:rPr>
        <w:t>where PDSCH is</w:t>
      </w:r>
      <w:r w:rsidR="003E4E89" w:rsidRPr="00DF6F45">
        <w:rPr>
          <w:rFonts w:hint="eastAsia"/>
          <w:lang w:val="en-US" w:eastAsia="ko-KR"/>
        </w:rPr>
        <w:t xml:space="preserve"> scheduled and </w:t>
      </w:r>
      <w:r w:rsidR="0028411D" w:rsidRPr="00DF6F45">
        <w:rPr>
          <w:rFonts w:hint="eastAsia"/>
          <w:lang w:val="en-US" w:eastAsia="ko-KR"/>
        </w:rPr>
        <w:t xml:space="preserve">the </w:t>
      </w:r>
      <w:r w:rsidR="003E4E89" w:rsidRPr="00DF6F45">
        <w:rPr>
          <w:rFonts w:hint="eastAsia"/>
          <w:lang w:val="en-US" w:eastAsia="ko-KR"/>
        </w:rPr>
        <w:t>BIF indicate</w:t>
      </w:r>
      <w:r w:rsidR="0028411D" w:rsidRPr="00DF6F45">
        <w:rPr>
          <w:rFonts w:hint="eastAsia"/>
          <w:lang w:val="en-US" w:eastAsia="ko-KR"/>
        </w:rPr>
        <w:t>s</w:t>
      </w:r>
      <w:r w:rsidR="003E4E89" w:rsidRPr="00DF6F45">
        <w:rPr>
          <w:rFonts w:hint="eastAsia"/>
          <w:lang w:val="en-US" w:eastAsia="ko-KR"/>
        </w:rPr>
        <w:t xml:space="preserve"> a BWP</w:t>
      </w:r>
      <w:r w:rsidR="0028411D" w:rsidRPr="00DF6F45">
        <w:rPr>
          <w:rFonts w:hint="eastAsia"/>
          <w:lang w:val="en-US" w:eastAsia="ko-KR"/>
        </w:rPr>
        <w:t xml:space="preserve"> to be activated </w:t>
      </w:r>
      <w:r w:rsidR="003E4E89" w:rsidRPr="00DF6F45">
        <w:rPr>
          <w:rFonts w:hint="eastAsia"/>
          <w:lang w:val="en-US" w:eastAsia="ko-KR"/>
        </w:rPr>
        <w:t>in th</w:t>
      </w:r>
      <w:r w:rsidR="0028411D" w:rsidRPr="00DF6F45">
        <w:rPr>
          <w:rFonts w:hint="eastAsia"/>
          <w:lang w:val="en-US" w:eastAsia="ko-KR"/>
        </w:rPr>
        <w:t xml:space="preserve">at CC. </w:t>
      </w:r>
      <w:r w:rsidR="00E12C31" w:rsidRPr="00DF6F45">
        <w:rPr>
          <w:rFonts w:hint="eastAsia"/>
          <w:lang w:val="en-US" w:eastAsia="ko-KR"/>
        </w:rPr>
        <w:t xml:space="preserve">As Alt 2-2, CIF and BIF can be jointly </w:t>
      </w:r>
      <w:r w:rsidR="00E12C31" w:rsidRPr="00DF6F45">
        <w:rPr>
          <w:lang w:val="en-US" w:eastAsia="ko-KR"/>
        </w:rPr>
        <w:t>encoded</w:t>
      </w:r>
      <w:r w:rsidR="00E12C31" w:rsidRPr="00DF6F45">
        <w:rPr>
          <w:rFonts w:hint="eastAsia"/>
          <w:lang w:val="en-US" w:eastAsia="ko-KR"/>
        </w:rPr>
        <w:t xml:space="preserve"> and composed of a combined bit field like CBIF (carrier and BWP indicator field) as shown in Figure 1. CBIF can indicate a combination of carrier index and BWP index</w:t>
      </w:r>
      <w:r w:rsidR="0036794B" w:rsidRPr="00DF6F45">
        <w:rPr>
          <w:rFonts w:hint="eastAsia"/>
          <w:lang w:val="en-US" w:eastAsia="ko-KR"/>
        </w:rPr>
        <w:t xml:space="preserve"> to be scheduled. Alt 2-2 is more flexible and efficient method </w:t>
      </w:r>
      <w:r w:rsidR="0036794B" w:rsidRPr="00DF6F45">
        <w:rPr>
          <w:lang w:val="en-US" w:eastAsia="ko-KR"/>
        </w:rPr>
        <w:t>compared</w:t>
      </w:r>
      <w:r w:rsidR="0036794B" w:rsidRPr="00DF6F45">
        <w:rPr>
          <w:rFonts w:hint="eastAsia"/>
          <w:lang w:val="en-US" w:eastAsia="ko-KR"/>
        </w:rPr>
        <w:t xml:space="preserve"> to Alt 2-1</w:t>
      </w:r>
      <w:r w:rsidR="00E610B4" w:rsidRPr="00D42139">
        <w:rPr>
          <w:rFonts w:hint="eastAsia"/>
          <w:lang w:val="en-US" w:eastAsia="ko-KR"/>
        </w:rPr>
        <w:t xml:space="preserve"> since in </w:t>
      </w:r>
      <w:r w:rsidR="00B63D99" w:rsidRPr="00D42139">
        <w:rPr>
          <w:rFonts w:hint="eastAsia"/>
          <w:lang w:val="en-US" w:eastAsia="ko-KR"/>
        </w:rPr>
        <w:t>Alt 2-2, t</w:t>
      </w:r>
      <w:r w:rsidR="0036794B" w:rsidRPr="00D42139">
        <w:rPr>
          <w:rFonts w:hint="eastAsia"/>
          <w:lang w:val="en-US" w:eastAsia="ko-KR"/>
        </w:rPr>
        <w:t xml:space="preserve">he contents of each bit field </w:t>
      </w:r>
      <w:r w:rsidR="00B63D99" w:rsidRPr="00D42139">
        <w:rPr>
          <w:rFonts w:hint="eastAsia"/>
          <w:lang w:val="en-US" w:eastAsia="ko-KR"/>
        </w:rPr>
        <w:t>conveyed by</w:t>
      </w:r>
      <w:r w:rsidR="0036794B" w:rsidRPr="00D42139">
        <w:rPr>
          <w:rFonts w:hint="eastAsia"/>
          <w:lang w:val="en-US" w:eastAsia="ko-KR"/>
        </w:rPr>
        <w:t xml:space="preserve"> CBIF can be configured by higher layer signaling</w:t>
      </w:r>
      <w:r w:rsidR="00B63D99" w:rsidRPr="00D42139">
        <w:rPr>
          <w:rFonts w:hint="eastAsia"/>
          <w:lang w:val="en-US" w:eastAsia="ko-KR"/>
        </w:rPr>
        <w:t xml:space="preserve"> reflecting current CA and BWP of each CC configuration</w:t>
      </w:r>
      <w:r w:rsidR="0036794B" w:rsidRPr="00D42139">
        <w:rPr>
          <w:rFonts w:hint="eastAsia"/>
          <w:lang w:val="en-US" w:eastAsia="ko-KR"/>
        </w:rPr>
        <w:t>.</w:t>
      </w:r>
      <w:r w:rsidR="009557EA" w:rsidRPr="00D42139">
        <w:rPr>
          <w:lang w:val="en-US" w:eastAsia="ko-KR"/>
        </w:rPr>
        <w:t xml:space="preserve"> </w:t>
      </w:r>
    </w:p>
    <w:p w14:paraId="324C9DF0" w14:textId="2321CDC5" w:rsidR="003E4E89" w:rsidRPr="00D42139" w:rsidRDefault="0028411D" w:rsidP="00092290">
      <w:pPr>
        <w:keepNext/>
        <w:jc w:val="center"/>
      </w:pPr>
      <w:r w:rsidRPr="00D42139">
        <w:rPr>
          <w:noProof/>
          <w:lang w:val="en-US"/>
        </w:rPr>
        <w:drawing>
          <wp:inline distT="0" distB="0" distL="0" distR="0" wp14:anchorId="732F881A" wp14:editId="1EA3F949">
            <wp:extent cx="3437907" cy="667504"/>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3498" cy="668590"/>
                    </a:xfrm>
                    <a:prstGeom prst="rect">
                      <a:avLst/>
                    </a:prstGeom>
                    <a:noFill/>
                  </pic:spPr>
                </pic:pic>
              </a:graphicData>
            </a:graphic>
          </wp:inline>
        </w:drawing>
      </w:r>
    </w:p>
    <w:p w14:paraId="62FFAA95" w14:textId="15656596" w:rsidR="002138A4" w:rsidRPr="00D42139" w:rsidRDefault="003E4E89" w:rsidP="00092290">
      <w:pPr>
        <w:pStyle w:val="Caption"/>
        <w:jc w:val="center"/>
        <w:rPr>
          <w:lang w:val="en-US" w:eastAsia="ko-KR"/>
        </w:rPr>
      </w:pPr>
      <w:r w:rsidRPr="00D42139">
        <w:t xml:space="preserve">Figure </w:t>
      </w:r>
      <w:r w:rsidRPr="00D42139">
        <w:fldChar w:fldCharType="begin"/>
      </w:r>
      <w:r w:rsidRPr="00D42139">
        <w:instrText xml:space="preserve"> SEQ Figure \* ARABIC </w:instrText>
      </w:r>
      <w:r w:rsidRPr="00D42139">
        <w:fldChar w:fldCharType="separate"/>
      </w:r>
      <w:r w:rsidR="0080733B" w:rsidRPr="00D42139">
        <w:rPr>
          <w:noProof/>
        </w:rPr>
        <w:t>1</w:t>
      </w:r>
      <w:r w:rsidRPr="00D42139">
        <w:fldChar w:fldCharType="end"/>
      </w:r>
      <w:r w:rsidRPr="00D42139">
        <w:rPr>
          <w:rFonts w:hint="eastAsia"/>
          <w:lang w:eastAsia="ko-KR"/>
        </w:rPr>
        <w:t>. Example of DCI design for dynamic BWP activation</w:t>
      </w:r>
    </w:p>
    <w:p w14:paraId="05303822" w14:textId="77777777" w:rsidR="00CC4508" w:rsidRPr="00DF6F45" w:rsidRDefault="004548CA" w:rsidP="00092290">
      <w:pPr>
        <w:spacing w:line="288" w:lineRule="auto"/>
        <w:ind w:firstLineChars="100" w:firstLine="200"/>
        <w:jc w:val="both"/>
        <w:rPr>
          <w:lang w:val="en-US" w:eastAsia="ko-KR"/>
        </w:rPr>
      </w:pPr>
      <w:r w:rsidRPr="00DF6F45">
        <w:rPr>
          <w:rFonts w:hint="eastAsia"/>
          <w:lang w:val="en-US" w:eastAsia="ko-KR"/>
        </w:rPr>
        <w:t xml:space="preserve">To decide DCI design for dynamic BWP activation, we need to consider the PDSCH scheduling for BWP operation. </w:t>
      </w:r>
      <w:r w:rsidR="00522508" w:rsidRPr="00DF6F45">
        <w:rPr>
          <w:rFonts w:hint="eastAsia"/>
          <w:lang w:val="en-US" w:eastAsia="ko-KR"/>
        </w:rPr>
        <w:t>When multiple BWPs are configured, a PDCCH and the associated PDSCH can be transmitted in the same BWP (corresponds to self-BWP scheduling) or different BWP (corresponds to cross-BWP scheduling)</w:t>
      </w:r>
      <w:r w:rsidR="002D72F4" w:rsidRPr="00DF6F45">
        <w:rPr>
          <w:rFonts w:hint="eastAsia"/>
          <w:lang w:val="en-US" w:eastAsia="ko-KR"/>
        </w:rPr>
        <w:t>.</w:t>
      </w:r>
      <w:r w:rsidR="00B63D99" w:rsidRPr="00DF6F45">
        <w:rPr>
          <w:rFonts w:hint="eastAsia"/>
          <w:lang w:val="en-US" w:eastAsia="ko-KR"/>
        </w:rPr>
        <w:t xml:space="preserve"> Actually, self-BWP scheduling is the baseline operation, and whether or not to support cross-BWP scheduling is still open. </w:t>
      </w:r>
      <w:r w:rsidR="00AB4526" w:rsidRPr="00DF6F45">
        <w:rPr>
          <w:rFonts w:hint="eastAsia"/>
          <w:lang w:val="en-US" w:eastAsia="ko-KR"/>
        </w:rPr>
        <w:t xml:space="preserve">In addition, single BWP activation is now supported and multiple BWP activation is FFS so far. </w:t>
      </w:r>
    </w:p>
    <w:p w14:paraId="627ECC2C" w14:textId="357613FC" w:rsidR="00B63D99" w:rsidRPr="00D42139" w:rsidRDefault="00CC4508" w:rsidP="00092290">
      <w:pPr>
        <w:spacing w:line="288" w:lineRule="auto"/>
        <w:ind w:firstLineChars="100" w:firstLine="200"/>
        <w:jc w:val="both"/>
        <w:rPr>
          <w:lang w:val="en-US" w:eastAsia="ko-KR"/>
        </w:rPr>
      </w:pPr>
      <w:r w:rsidRPr="00DF6F45">
        <w:rPr>
          <w:rFonts w:hint="eastAsia"/>
          <w:lang w:val="en-US" w:eastAsia="ko-KR"/>
        </w:rPr>
        <w:t xml:space="preserve">Especially for single BWP activation scenario, there are </w:t>
      </w:r>
      <w:r w:rsidR="00AB4526" w:rsidRPr="00DF6F45">
        <w:rPr>
          <w:rFonts w:hint="eastAsia"/>
          <w:lang w:val="en-US" w:eastAsia="ko-KR"/>
        </w:rPr>
        <w:t>several motivations to support cross-BWP scheduling. First, BWP switching is generally triggered when there is a data traffic which should be transmitted via other BWP not the current BWP.</w:t>
      </w:r>
      <w:r w:rsidRPr="00DF6F45">
        <w:rPr>
          <w:rFonts w:hint="eastAsia"/>
          <w:lang w:val="en-US" w:eastAsia="ko-KR"/>
        </w:rPr>
        <w:t xml:space="preserve"> By using cross-BWP scheduling, fastest data reception is possible since there is no need to monitor the PDCCH in the changed BWP. Second, interference of PDCCH can be managed by using cross-BWP scheduling as in CA scenario</w:t>
      </w:r>
      <w:r w:rsidRPr="00D42139">
        <w:rPr>
          <w:rFonts w:hint="eastAsia"/>
          <w:lang w:val="en-US" w:eastAsia="ko-KR"/>
        </w:rPr>
        <w:t xml:space="preserve">. Third, </w:t>
      </w:r>
      <w:r w:rsidR="00533A61" w:rsidRPr="00D42139">
        <w:rPr>
          <w:rFonts w:hint="eastAsia"/>
          <w:lang w:val="en-US" w:eastAsia="ko-KR"/>
        </w:rPr>
        <w:t>considering</w:t>
      </w:r>
      <w:r w:rsidRPr="00D42139">
        <w:rPr>
          <w:rFonts w:hint="eastAsia"/>
          <w:lang w:val="en-US" w:eastAsia="ko-KR"/>
        </w:rPr>
        <w:t xml:space="preserve"> </w:t>
      </w:r>
      <w:r w:rsidR="00533A61" w:rsidRPr="00D42139">
        <w:rPr>
          <w:rFonts w:hint="eastAsia"/>
          <w:lang w:val="en-US" w:eastAsia="ko-KR"/>
        </w:rPr>
        <w:t xml:space="preserve">combined operation </w:t>
      </w:r>
      <w:r w:rsidRPr="00D42139">
        <w:rPr>
          <w:rFonts w:hint="eastAsia"/>
          <w:lang w:val="en-US" w:eastAsia="ko-KR"/>
        </w:rPr>
        <w:t>BWP with CA</w:t>
      </w:r>
      <w:r w:rsidR="00533A61" w:rsidRPr="00D42139">
        <w:rPr>
          <w:rFonts w:hint="eastAsia"/>
          <w:lang w:val="en-US" w:eastAsia="ko-KR"/>
        </w:rPr>
        <w:t>, cross-BWP scheduling should be naturally supported when a UE is configured by cross-carrier scheduling. Lastly, more efficient DCI design can be applied when cross-BWP scheduling is supported.</w:t>
      </w:r>
    </w:p>
    <w:p w14:paraId="6F81B5BC" w14:textId="6F917FB4" w:rsidR="00AD2AFB" w:rsidRPr="00DF6F45" w:rsidRDefault="00C05CD3" w:rsidP="00092290">
      <w:pPr>
        <w:spacing w:line="288" w:lineRule="auto"/>
        <w:ind w:firstLineChars="100" w:firstLine="200"/>
        <w:jc w:val="both"/>
        <w:rPr>
          <w:lang w:val="en-US" w:eastAsia="ko-KR"/>
        </w:rPr>
      </w:pPr>
      <w:r>
        <w:rPr>
          <w:lang w:val="en-US" w:eastAsia="ko-KR"/>
        </w:rPr>
        <w:t>I</w:t>
      </w:r>
      <w:r w:rsidR="004548CA" w:rsidRPr="00D42139">
        <w:rPr>
          <w:rFonts w:hint="eastAsia"/>
          <w:lang w:val="en-US" w:eastAsia="ko-KR"/>
        </w:rPr>
        <w:t>f</w:t>
      </w:r>
      <w:r w:rsidR="00B63D99" w:rsidRPr="00D42139">
        <w:rPr>
          <w:rFonts w:hint="eastAsia"/>
          <w:lang w:val="en-US" w:eastAsia="ko-KR"/>
        </w:rPr>
        <w:t xml:space="preserve"> </w:t>
      </w:r>
      <w:r w:rsidR="004548CA" w:rsidRPr="00D42139">
        <w:rPr>
          <w:rFonts w:hint="eastAsia"/>
          <w:lang w:val="en-US" w:eastAsia="ko-KR"/>
        </w:rPr>
        <w:t xml:space="preserve">only </w:t>
      </w:r>
      <w:r w:rsidR="00B63D99" w:rsidRPr="00D42139">
        <w:rPr>
          <w:rFonts w:hint="eastAsia"/>
          <w:lang w:val="en-US" w:eastAsia="ko-KR"/>
        </w:rPr>
        <w:t xml:space="preserve">self-BWP scheduling is supported, </w:t>
      </w:r>
      <w:r w:rsidR="004548CA" w:rsidRPr="00D42139">
        <w:rPr>
          <w:rFonts w:hint="eastAsia"/>
          <w:lang w:val="en-US" w:eastAsia="ko-KR"/>
        </w:rPr>
        <w:t xml:space="preserve">there is no way to evade use of </w:t>
      </w:r>
      <w:r w:rsidR="004548CA" w:rsidRPr="00D42139">
        <w:rPr>
          <w:lang w:val="en-US" w:eastAsia="ko-KR"/>
        </w:rPr>
        <w:t>separate</w:t>
      </w:r>
      <w:r w:rsidR="004548CA" w:rsidRPr="00DF6F45">
        <w:rPr>
          <w:rFonts w:hint="eastAsia"/>
          <w:lang w:val="en-US" w:eastAsia="ko-KR"/>
        </w:rPr>
        <w:t xml:space="preserve"> DCI design</w:t>
      </w:r>
      <w:r w:rsidR="00533A61" w:rsidRPr="00DF6F45">
        <w:rPr>
          <w:rFonts w:hint="eastAsia"/>
          <w:lang w:val="en-US" w:eastAsia="ko-KR"/>
        </w:rPr>
        <w:t xml:space="preserve"> </w:t>
      </w:r>
      <w:r w:rsidR="00533A61" w:rsidRPr="00DF6F45">
        <w:rPr>
          <w:lang w:val="en-US" w:eastAsia="ko-KR"/>
        </w:rPr>
        <w:t>correspond</w:t>
      </w:r>
      <w:r w:rsidR="00533A61" w:rsidRPr="00DF6F45">
        <w:rPr>
          <w:rFonts w:hint="eastAsia"/>
          <w:lang w:val="en-US" w:eastAsia="ko-KR"/>
        </w:rPr>
        <w:t>ing to Alt 1</w:t>
      </w:r>
      <w:r w:rsidR="004548CA" w:rsidRPr="00DF6F45">
        <w:rPr>
          <w:rFonts w:hint="eastAsia"/>
          <w:lang w:val="en-US" w:eastAsia="ko-KR"/>
        </w:rPr>
        <w:t xml:space="preserve"> </w:t>
      </w:r>
      <w:r w:rsidR="00AB4526" w:rsidRPr="00DF6F45">
        <w:rPr>
          <w:rFonts w:hint="eastAsia"/>
          <w:lang w:val="en-US" w:eastAsia="ko-KR"/>
        </w:rPr>
        <w:t xml:space="preserve">since </w:t>
      </w:r>
      <w:r w:rsidR="00AB4526" w:rsidRPr="00DF6F45">
        <w:rPr>
          <w:lang w:val="en-US" w:eastAsia="ko-KR"/>
        </w:rPr>
        <w:t>independent</w:t>
      </w:r>
      <w:r w:rsidR="00AB4526" w:rsidRPr="00DF6F45">
        <w:rPr>
          <w:rFonts w:hint="eastAsia"/>
          <w:lang w:val="en-US" w:eastAsia="ko-KR"/>
        </w:rPr>
        <w:t xml:space="preserve"> DCI signaling is necessarily required</w:t>
      </w:r>
      <w:r w:rsidR="004548CA" w:rsidRPr="00DF6F45">
        <w:rPr>
          <w:rFonts w:hint="eastAsia"/>
          <w:lang w:val="en-US" w:eastAsia="ko-KR"/>
        </w:rPr>
        <w:t>.</w:t>
      </w:r>
      <w:r w:rsidR="00AB4526" w:rsidRPr="00DF6F45">
        <w:rPr>
          <w:rFonts w:hint="eastAsia"/>
          <w:lang w:val="en-US" w:eastAsia="ko-KR"/>
        </w:rPr>
        <w:t xml:space="preserve"> </w:t>
      </w:r>
      <w:r w:rsidR="00687AC7" w:rsidRPr="00DF6F45">
        <w:rPr>
          <w:rFonts w:hint="eastAsia"/>
          <w:lang w:val="en-US" w:eastAsia="ko-KR"/>
        </w:rPr>
        <w:t>For example, a UE should detect a switching DCI in BWP-1 at first and then the scheduling DCI have to be obtained in BWP-2</w:t>
      </w:r>
      <w:r w:rsidR="00687AC7" w:rsidRPr="00D42139">
        <w:rPr>
          <w:rFonts w:hint="eastAsia"/>
          <w:lang w:val="en-US" w:eastAsia="ko-KR"/>
        </w:rPr>
        <w:t xml:space="preserve"> if only self-BWP scheduling is supported. </w:t>
      </w:r>
      <w:r w:rsidR="004548CA" w:rsidRPr="00D42139">
        <w:rPr>
          <w:rFonts w:hint="eastAsia"/>
          <w:lang w:val="en-US" w:eastAsia="ko-KR"/>
        </w:rPr>
        <w:t xml:space="preserve">Then the UE power consumption will increase due to </w:t>
      </w:r>
      <w:r w:rsidR="00533A61" w:rsidRPr="00D42139">
        <w:rPr>
          <w:rFonts w:hint="eastAsia"/>
          <w:lang w:val="en-US" w:eastAsia="ko-KR"/>
        </w:rPr>
        <w:t>the additional</w:t>
      </w:r>
      <w:r w:rsidR="004548CA" w:rsidRPr="00D42139">
        <w:rPr>
          <w:rFonts w:hint="eastAsia"/>
          <w:lang w:val="en-US" w:eastAsia="ko-KR"/>
        </w:rPr>
        <w:t xml:space="preserve"> blind </w:t>
      </w:r>
      <w:r w:rsidR="00AB4526" w:rsidRPr="00D42139">
        <w:rPr>
          <w:rFonts w:hint="eastAsia"/>
          <w:lang w:val="en-US" w:eastAsia="ko-KR"/>
        </w:rPr>
        <w:t xml:space="preserve">decoding for </w:t>
      </w:r>
      <w:r w:rsidR="00533A61" w:rsidRPr="00D42139">
        <w:rPr>
          <w:rFonts w:hint="eastAsia"/>
          <w:lang w:val="en-US" w:eastAsia="ko-KR"/>
        </w:rPr>
        <w:t xml:space="preserve">additional </w:t>
      </w:r>
      <w:r w:rsidR="00AB4526" w:rsidRPr="00D42139">
        <w:rPr>
          <w:rFonts w:hint="eastAsia"/>
          <w:lang w:val="en-US" w:eastAsia="ko-KR"/>
        </w:rPr>
        <w:t>DCI</w:t>
      </w:r>
      <w:r w:rsidR="00533A61" w:rsidRPr="00D42139">
        <w:rPr>
          <w:rFonts w:hint="eastAsia"/>
          <w:lang w:val="en-US" w:eastAsia="ko-KR"/>
        </w:rPr>
        <w:t xml:space="preserve"> format</w:t>
      </w:r>
      <w:r w:rsidR="00AB4526" w:rsidRPr="00D42139">
        <w:rPr>
          <w:rFonts w:hint="eastAsia"/>
          <w:lang w:val="en-US" w:eastAsia="ko-KR"/>
        </w:rPr>
        <w:t xml:space="preserve"> as describe above.</w:t>
      </w:r>
      <w:r w:rsidR="00533A61" w:rsidRPr="00D42139">
        <w:rPr>
          <w:rFonts w:hint="eastAsia"/>
          <w:lang w:val="en-US" w:eastAsia="ko-KR"/>
        </w:rPr>
        <w:t xml:space="preserve"> On the other hand, i</w:t>
      </w:r>
      <w:r w:rsidR="00AB4526" w:rsidRPr="00D42139">
        <w:rPr>
          <w:rFonts w:hint="eastAsia"/>
          <w:lang w:val="en-US" w:eastAsia="ko-KR"/>
        </w:rPr>
        <w:t>f cr</w:t>
      </w:r>
      <w:r w:rsidR="00533A61" w:rsidRPr="00D42139">
        <w:rPr>
          <w:rFonts w:hint="eastAsia"/>
          <w:lang w:val="en-US" w:eastAsia="ko-KR"/>
        </w:rPr>
        <w:t>oss-BWP scheduling is supported, j</w:t>
      </w:r>
      <w:r w:rsidR="00533A61" w:rsidRPr="00D42139">
        <w:rPr>
          <w:lang w:val="en-US" w:eastAsia="ko-KR"/>
        </w:rPr>
        <w:t>oint DCI design for switching and scheduling</w:t>
      </w:r>
      <w:r w:rsidR="00AD2AFB" w:rsidRPr="00DF6F45">
        <w:rPr>
          <w:rFonts w:hint="eastAsia"/>
          <w:lang w:val="en-US" w:eastAsia="ko-KR"/>
        </w:rPr>
        <w:t xml:space="preserve"> of Alt 2 can be used</w:t>
      </w:r>
      <w:r w:rsidR="00533A61" w:rsidRPr="00DF6F45">
        <w:rPr>
          <w:rFonts w:hint="eastAsia"/>
          <w:lang w:val="en-US" w:eastAsia="ko-KR"/>
        </w:rPr>
        <w:t>.</w:t>
      </w:r>
      <w:r w:rsidR="00AD2AFB" w:rsidRPr="00DF6F45">
        <w:rPr>
          <w:rFonts w:hint="eastAsia"/>
          <w:lang w:val="en-US" w:eastAsia="ko-KR"/>
        </w:rPr>
        <w:t xml:space="preserve"> Then</w:t>
      </w:r>
      <w:r w:rsidR="00533A61" w:rsidRPr="00DF6F45">
        <w:rPr>
          <w:rFonts w:hint="eastAsia"/>
          <w:lang w:val="en-US" w:eastAsia="ko-KR"/>
        </w:rPr>
        <w:t xml:space="preserve"> </w:t>
      </w:r>
      <w:r w:rsidR="00AD2AFB" w:rsidRPr="00DF6F45">
        <w:rPr>
          <w:rFonts w:hint="eastAsia"/>
          <w:lang w:val="en-US" w:eastAsia="ko-KR"/>
        </w:rPr>
        <w:t>a</w:t>
      </w:r>
      <w:r w:rsidR="00533A61" w:rsidRPr="00DF6F45">
        <w:rPr>
          <w:rFonts w:hint="eastAsia"/>
          <w:lang w:val="en-US" w:eastAsia="ko-KR"/>
        </w:rPr>
        <w:t xml:space="preserve"> scheduling DCI </w:t>
      </w:r>
      <w:r w:rsidR="00AD2AFB" w:rsidRPr="00DF6F45">
        <w:rPr>
          <w:rFonts w:hint="eastAsia"/>
          <w:lang w:val="en-US" w:eastAsia="ko-KR"/>
        </w:rPr>
        <w:t xml:space="preserve">for BWP-2 </w:t>
      </w:r>
      <w:r w:rsidR="00533A61" w:rsidRPr="00DF6F45">
        <w:rPr>
          <w:lang w:val="en-US" w:eastAsia="ko-KR"/>
        </w:rPr>
        <w:t>includin</w:t>
      </w:r>
      <w:r w:rsidR="00533A61" w:rsidRPr="00DF6F45">
        <w:rPr>
          <w:rFonts w:hint="eastAsia"/>
          <w:lang w:val="en-US" w:eastAsia="ko-KR"/>
        </w:rPr>
        <w:t xml:space="preserve">g BWP indicator can be </w:t>
      </w:r>
      <w:r w:rsidR="00533A61" w:rsidRPr="00DF6F45">
        <w:rPr>
          <w:lang w:val="en-US" w:eastAsia="ko-KR"/>
        </w:rPr>
        <w:t>transmitted</w:t>
      </w:r>
      <w:r w:rsidR="00533A61" w:rsidRPr="00DF6F45">
        <w:rPr>
          <w:rFonts w:hint="eastAsia"/>
          <w:lang w:val="en-US" w:eastAsia="ko-KR"/>
        </w:rPr>
        <w:t xml:space="preserve"> and detected in the activated BWP-1</w:t>
      </w:r>
      <w:r w:rsidR="00AD2AFB" w:rsidRPr="00DF6F45">
        <w:rPr>
          <w:rFonts w:hint="eastAsia"/>
          <w:lang w:val="en-US" w:eastAsia="ko-KR"/>
        </w:rPr>
        <w:t>. Without any impacts on UE complexity, dynamic BWP switching can be supported.</w:t>
      </w:r>
    </w:p>
    <w:p w14:paraId="59730582" w14:textId="6261689F" w:rsidR="00490FDE" w:rsidRPr="00DF6F45" w:rsidRDefault="00AE37FA" w:rsidP="00AE37FA">
      <w:pPr>
        <w:jc w:val="both"/>
        <w:rPr>
          <w:b/>
          <w:i/>
          <w:lang w:val="en-US" w:eastAsia="ko-KR"/>
        </w:rPr>
      </w:pPr>
      <w:r w:rsidRPr="00DF6F45">
        <w:rPr>
          <w:b/>
          <w:i/>
          <w:lang w:val="en-US" w:eastAsia="ko-KR"/>
        </w:rPr>
        <w:t>Proposal</w:t>
      </w:r>
      <w:r w:rsidR="002A2071">
        <w:rPr>
          <w:b/>
          <w:i/>
          <w:lang w:val="en-US" w:eastAsia="ko-KR"/>
        </w:rPr>
        <w:t xml:space="preserve"> 6</w:t>
      </w:r>
      <w:r w:rsidRPr="00DF6F45">
        <w:rPr>
          <w:b/>
          <w:i/>
          <w:lang w:val="en-US" w:eastAsia="ko-KR"/>
        </w:rPr>
        <w:t xml:space="preserve">: </w:t>
      </w:r>
      <w:r w:rsidRPr="00DF6F45">
        <w:rPr>
          <w:rFonts w:hint="eastAsia"/>
          <w:b/>
          <w:i/>
          <w:lang w:val="en-US" w:eastAsia="ko-KR"/>
        </w:rPr>
        <w:t>Cr</w:t>
      </w:r>
      <w:r w:rsidR="00490FDE" w:rsidRPr="00DF6F45">
        <w:rPr>
          <w:rFonts w:hint="eastAsia"/>
          <w:b/>
          <w:i/>
          <w:lang w:val="en-US" w:eastAsia="ko-KR"/>
        </w:rPr>
        <w:t>oss-BWP scheduling is supported.</w:t>
      </w:r>
    </w:p>
    <w:p w14:paraId="2BF9BCDA" w14:textId="4DF788C8" w:rsidR="00AE37FA" w:rsidRPr="00DF6F45" w:rsidRDefault="00490FDE" w:rsidP="00AE37FA">
      <w:pPr>
        <w:jc w:val="both"/>
        <w:rPr>
          <w:b/>
          <w:i/>
          <w:lang w:val="en-US" w:eastAsia="ko-KR"/>
        </w:rPr>
      </w:pPr>
      <w:r w:rsidRPr="00DF6F45">
        <w:rPr>
          <w:b/>
          <w:i/>
          <w:lang w:val="en-US" w:eastAsia="ko-KR"/>
        </w:rPr>
        <w:t>Proposal</w:t>
      </w:r>
      <w:r w:rsidR="002A2071">
        <w:rPr>
          <w:b/>
          <w:i/>
          <w:lang w:val="en-US" w:eastAsia="ko-KR"/>
        </w:rPr>
        <w:t xml:space="preserve"> 7</w:t>
      </w:r>
      <w:r w:rsidRPr="00DF6F45">
        <w:rPr>
          <w:b/>
          <w:i/>
          <w:lang w:val="en-US" w:eastAsia="ko-KR"/>
        </w:rPr>
        <w:t xml:space="preserve">: </w:t>
      </w:r>
      <w:r w:rsidR="00AE37FA" w:rsidRPr="00DF6F45">
        <w:rPr>
          <w:rFonts w:hint="eastAsia"/>
          <w:b/>
          <w:i/>
          <w:lang w:val="en-US" w:eastAsia="ko-KR"/>
        </w:rPr>
        <w:t>BWP indication</w:t>
      </w:r>
      <w:r w:rsidRPr="00DF6F45">
        <w:rPr>
          <w:rFonts w:hint="eastAsia"/>
          <w:b/>
          <w:i/>
          <w:lang w:val="en-US" w:eastAsia="ko-KR"/>
        </w:rPr>
        <w:t xml:space="preserve"> field</w:t>
      </w:r>
      <w:r w:rsidR="00AE37FA" w:rsidRPr="00DF6F45">
        <w:rPr>
          <w:rFonts w:hint="eastAsia"/>
          <w:b/>
          <w:i/>
          <w:lang w:val="en-US" w:eastAsia="ko-KR"/>
        </w:rPr>
        <w:t xml:space="preserve"> </w:t>
      </w:r>
      <w:r w:rsidRPr="00DF6F45">
        <w:rPr>
          <w:rFonts w:hint="eastAsia"/>
          <w:b/>
          <w:i/>
          <w:lang w:val="en-US" w:eastAsia="ko-KR"/>
        </w:rPr>
        <w:t xml:space="preserve">is </w:t>
      </w:r>
      <w:r w:rsidR="00485F56" w:rsidRPr="00DF6F45">
        <w:rPr>
          <w:rFonts w:hint="eastAsia"/>
          <w:b/>
          <w:i/>
          <w:lang w:val="en-US" w:eastAsia="ko-KR"/>
        </w:rPr>
        <w:t>added</w:t>
      </w:r>
      <w:r w:rsidR="00AE37FA" w:rsidRPr="00DF6F45">
        <w:rPr>
          <w:rFonts w:hint="eastAsia"/>
          <w:b/>
          <w:i/>
          <w:lang w:val="en-US" w:eastAsia="ko-KR"/>
        </w:rPr>
        <w:t xml:space="preserve"> </w:t>
      </w:r>
      <w:r w:rsidRPr="00DF6F45">
        <w:rPr>
          <w:rFonts w:hint="eastAsia"/>
          <w:b/>
          <w:i/>
          <w:lang w:val="en-US" w:eastAsia="ko-KR"/>
        </w:rPr>
        <w:t xml:space="preserve">in the DCI </w:t>
      </w:r>
      <w:r w:rsidR="00AE37FA" w:rsidRPr="00DF6F45">
        <w:rPr>
          <w:rFonts w:hint="eastAsia"/>
          <w:b/>
          <w:i/>
          <w:lang w:val="en-US" w:eastAsia="ko-KR"/>
        </w:rPr>
        <w:t xml:space="preserve">if cross-BWP </w:t>
      </w:r>
      <w:r w:rsidR="00AE37FA" w:rsidRPr="00DF6F45">
        <w:rPr>
          <w:b/>
          <w:i/>
          <w:lang w:val="en-US" w:eastAsia="ko-KR"/>
        </w:rPr>
        <w:t>scheduling</w:t>
      </w:r>
      <w:r w:rsidR="00AE37FA" w:rsidRPr="00DF6F45">
        <w:rPr>
          <w:rFonts w:hint="eastAsia"/>
          <w:b/>
          <w:i/>
          <w:lang w:val="en-US" w:eastAsia="ko-KR"/>
        </w:rPr>
        <w:t xml:space="preserve"> is supported</w:t>
      </w:r>
      <w:r w:rsidR="006D3EA5" w:rsidRPr="00DF6F45">
        <w:rPr>
          <w:rFonts w:hint="eastAsia"/>
          <w:b/>
          <w:i/>
          <w:lang w:val="en-US" w:eastAsia="ko-KR"/>
        </w:rPr>
        <w:t xml:space="preserve"> and BWP indication field is configurable.</w:t>
      </w:r>
    </w:p>
    <w:p w14:paraId="028A3F12" w14:textId="77777777" w:rsidR="0080733B" w:rsidRPr="00DF6F45" w:rsidRDefault="0080733B" w:rsidP="00AE37FA">
      <w:pPr>
        <w:jc w:val="both"/>
        <w:rPr>
          <w:b/>
          <w:i/>
          <w:lang w:val="en-US" w:eastAsia="ko-KR"/>
        </w:rPr>
      </w:pPr>
    </w:p>
    <w:p w14:paraId="74A71323" w14:textId="78CCDC46" w:rsidR="00655A5A" w:rsidRPr="00DF6F45" w:rsidRDefault="00655A5A" w:rsidP="003B77F5">
      <w:pPr>
        <w:pStyle w:val="Heading2"/>
        <w:numPr>
          <w:ilvl w:val="1"/>
          <w:numId w:val="2"/>
        </w:numPr>
        <w:jc w:val="both"/>
        <w:rPr>
          <w:lang w:val="en-US"/>
        </w:rPr>
      </w:pPr>
      <w:r w:rsidRPr="00DF6F45">
        <w:rPr>
          <w:lang w:val="en-US"/>
        </w:rPr>
        <w:t>CORESET configurations</w:t>
      </w:r>
      <w:r w:rsidR="000532EA" w:rsidRPr="00DF6F45">
        <w:rPr>
          <w:lang w:val="en-US"/>
        </w:rPr>
        <w:t xml:space="preserve"> across BWP</w:t>
      </w:r>
    </w:p>
    <w:p w14:paraId="09467DED" w14:textId="21E96D6A" w:rsidR="00B13BE3" w:rsidRPr="00DF6F45" w:rsidRDefault="00D36C72" w:rsidP="00092290">
      <w:pPr>
        <w:jc w:val="both"/>
        <w:rPr>
          <w:lang w:val="en-US" w:eastAsia="ko-KR"/>
        </w:rPr>
      </w:pPr>
      <w:r w:rsidRPr="00DF6F45">
        <w:rPr>
          <w:lang w:val="en-US" w:eastAsia="ko-KR"/>
        </w:rPr>
        <w:t>The following agreements were made in the last RAN1 meeting</w:t>
      </w:r>
      <w:r w:rsidR="00481ED6" w:rsidRPr="00DF6F45">
        <w:rPr>
          <w:lang w:val="en-US" w:eastAsia="ko-KR"/>
        </w:rPr>
        <w:t xml:space="preserve"> – </w:t>
      </w:r>
    </w:p>
    <w:p w14:paraId="7EE4C383" w14:textId="77777777" w:rsidR="00481ED6" w:rsidRPr="00DF6F45" w:rsidRDefault="00481ED6" w:rsidP="00481ED6">
      <w:pPr>
        <w:numPr>
          <w:ilvl w:val="0"/>
          <w:numId w:val="41"/>
        </w:numPr>
        <w:spacing w:after="0"/>
        <w:rPr>
          <w:rFonts w:eastAsia="MS Mincho"/>
          <w:i/>
          <w:lang w:val="en-US" w:eastAsia="ja-JP"/>
        </w:rPr>
      </w:pPr>
      <w:r w:rsidRPr="00DF6F45">
        <w:rPr>
          <w:rFonts w:eastAsia="MS Mincho"/>
          <w:i/>
          <w:lang w:val="en-US" w:eastAsia="ja-JP"/>
        </w:rPr>
        <w:lastRenderedPageBreak/>
        <w:t>At least one of configured DL BWPs includes one CORESET with common search space at least in primary component carrier</w:t>
      </w:r>
    </w:p>
    <w:p w14:paraId="292D792B" w14:textId="77777777" w:rsidR="00481ED6" w:rsidRPr="00DF6F45" w:rsidRDefault="00481ED6" w:rsidP="00481ED6">
      <w:pPr>
        <w:numPr>
          <w:ilvl w:val="0"/>
          <w:numId w:val="41"/>
        </w:numPr>
        <w:spacing w:after="0"/>
        <w:rPr>
          <w:rFonts w:eastAsia="MS Mincho"/>
          <w:i/>
          <w:lang w:val="en-US" w:eastAsia="ja-JP"/>
        </w:rPr>
      </w:pPr>
      <w:r w:rsidRPr="00DF6F45">
        <w:rPr>
          <w:rFonts w:eastAsia="MS Mincho"/>
          <w:i/>
          <w:lang w:val="en-US" w:eastAsia="ja-JP"/>
        </w:rPr>
        <w:t>Each configured DL BWP includes at least one CORESET with UE-specific search space for the case of single active BWP at a given time</w:t>
      </w:r>
    </w:p>
    <w:p w14:paraId="508E34C5" w14:textId="478683B6" w:rsidR="00481ED6" w:rsidRPr="00DF6F45" w:rsidRDefault="00481ED6" w:rsidP="00481ED6">
      <w:pPr>
        <w:numPr>
          <w:ilvl w:val="1"/>
          <w:numId w:val="41"/>
        </w:numPr>
        <w:spacing w:after="0"/>
        <w:rPr>
          <w:rFonts w:eastAsia="MS Mincho"/>
          <w:i/>
          <w:lang w:val="en-US" w:eastAsia="ja-JP"/>
        </w:rPr>
      </w:pPr>
      <w:r w:rsidRPr="00DF6F45">
        <w:rPr>
          <w:rFonts w:eastAsia="MS Mincho"/>
          <w:i/>
          <w:lang w:val="en-US" w:eastAsia="ja-JP"/>
        </w:rPr>
        <w:t>In case of single active BWP at a given time, if active DL BWP does not include common search space, then UE is not required to monitor the common search space</w:t>
      </w:r>
    </w:p>
    <w:p w14:paraId="2F2EB666" w14:textId="77777777" w:rsidR="00B573D5" w:rsidRPr="00DF6F45" w:rsidRDefault="00B573D5" w:rsidP="00092290">
      <w:pPr>
        <w:jc w:val="both"/>
        <w:rPr>
          <w:lang w:val="en-US" w:eastAsia="ko-KR"/>
        </w:rPr>
      </w:pPr>
    </w:p>
    <w:p w14:paraId="0A88BE59" w14:textId="3AA90565" w:rsidR="0080733B" w:rsidRPr="00DF6F45" w:rsidRDefault="0080733B" w:rsidP="00092290">
      <w:pPr>
        <w:jc w:val="both"/>
        <w:rPr>
          <w:lang w:val="en-US" w:eastAsia="ko-KR"/>
        </w:rPr>
      </w:pPr>
      <w:r w:rsidRPr="00DF6F45">
        <w:rPr>
          <w:rFonts w:hint="eastAsia"/>
          <w:b/>
          <w:u w:val="single"/>
          <w:lang w:val="en-US" w:eastAsia="ko-KR"/>
        </w:rPr>
        <w:t xml:space="preserve">Issue 1: CORESET configuration </w:t>
      </w:r>
    </w:p>
    <w:p w14:paraId="056FB823" w14:textId="4DDF6BE9" w:rsidR="00481ED6" w:rsidRPr="00D42139" w:rsidRDefault="00284BA4" w:rsidP="0006319F">
      <w:pPr>
        <w:spacing w:line="288" w:lineRule="auto"/>
        <w:jc w:val="both"/>
        <w:rPr>
          <w:lang w:val="en-US" w:eastAsia="ko-KR"/>
        </w:rPr>
      </w:pPr>
      <w:r w:rsidRPr="00DF6F45">
        <w:rPr>
          <w:lang w:val="en-US" w:eastAsia="ko-KR"/>
        </w:rPr>
        <w:t>In these cases, one open question</w:t>
      </w:r>
      <w:r w:rsidR="008156E3" w:rsidRPr="00DF6F45">
        <w:rPr>
          <w:lang w:val="en-US" w:eastAsia="ko-KR"/>
        </w:rPr>
        <w:t xml:space="preserve"> i</w:t>
      </w:r>
      <w:r w:rsidR="00B573D5" w:rsidRPr="00DF6F45">
        <w:rPr>
          <w:lang w:val="en-US" w:eastAsia="ko-KR"/>
        </w:rPr>
        <w:t>s</w:t>
      </w:r>
      <w:r w:rsidR="008156E3" w:rsidRPr="00DF6F45">
        <w:rPr>
          <w:lang w:val="en-US" w:eastAsia="ko-KR"/>
        </w:rPr>
        <w:t xml:space="preserve"> whether the</w:t>
      </w:r>
      <w:r w:rsidRPr="00DF6F45">
        <w:rPr>
          <w:lang w:val="en-US" w:eastAsia="ko-KR"/>
        </w:rPr>
        <w:t xml:space="preserve"> CORESET configurations i.e., CORESET parameters such as </w:t>
      </w:r>
      <w:r w:rsidR="008156E3" w:rsidRPr="00DF6F45">
        <w:rPr>
          <w:lang w:val="en-US" w:eastAsia="ko-KR"/>
        </w:rPr>
        <w:t>CORESET duration, REG bundling size, REG interleaving, number of blind decoding operations</w:t>
      </w:r>
      <w:r w:rsidR="00EF4B18" w:rsidRPr="00DF6F45">
        <w:rPr>
          <w:lang w:val="en-US" w:eastAsia="ko-KR"/>
        </w:rPr>
        <w:t>, REG bundle size</w:t>
      </w:r>
      <w:r w:rsidR="00D71198" w:rsidRPr="00DF6F45">
        <w:rPr>
          <w:lang w:val="en-US" w:eastAsia="ko-KR"/>
        </w:rPr>
        <w:t>, transmission type</w:t>
      </w:r>
      <w:r w:rsidR="008156E3" w:rsidRPr="00DF6F45">
        <w:rPr>
          <w:lang w:val="en-US" w:eastAsia="ko-KR"/>
        </w:rPr>
        <w:t>, across BWPs are same or not. At least for the sake of simplicity and to reduce RRC signaling which configures the USS and its CORESET</w:t>
      </w:r>
      <w:r w:rsidR="00961819" w:rsidRPr="00DF6F45">
        <w:rPr>
          <w:lang w:val="en-US" w:eastAsia="ko-KR"/>
        </w:rPr>
        <w:t xml:space="preserve"> in every configured BWP for the UE</w:t>
      </w:r>
      <w:r w:rsidR="008156E3" w:rsidRPr="00DF6F45">
        <w:rPr>
          <w:lang w:val="en-US" w:eastAsia="ko-KR"/>
        </w:rPr>
        <w:t>, a UE can assume that the same parameters are valid across different BWPs</w:t>
      </w:r>
      <w:r w:rsidR="00F97BDD" w:rsidRPr="00DF6F45">
        <w:rPr>
          <w:lang w:val="en-US" w:eastAsia="ko-KR"/>
        </w:rPr>
        <w:t>, at least on the ones which have same numerology</w:t>
      </w:r>
      <w:r w:rsidR="008156E3" w:rsidRPr="00DF6F45">
        <w:rPr>
          <w:lang w:val="en-US" w:eastAsia="ko-KR"/>
        </w:rPr>
        <w:t xml:space="preserve">. </w:t>
      </w:r>
    </w:p>
    <w:p w14:paraId="049DA27F" w14:textId="2C474583" w:rsidR="003C262F" w:rsidRPr="00D42139" w:rsidRDefault="003C262F" w:rsidP="0006319F">
      <w:pPr>
        <w:spacing w:line="288" w:lineRule="auto"/>
        <w:jc w:val="both"/>
        <w:rPr>
          <w:b/>
          <w:i/>
          <w:lang w:val="en-US" w:eastAsia="ko-KR"/>
        </w:rPr>
      </w:pPr>
      <w:r w:rsidRPr="00D42139">
        <w:rPr>
          <w:b/>
          <w:i/>
          <w:lang w:val="en-US" w:eastAsia="ko-KR"/>
        </w:rPr>
        <w:t>Proposal</w:t>
      </w:r>
      <w:r w:rsidR="002A2071">
        <w:rPr>
          <w:b/>
          <w:i/>
          <w:lang w:val="en-US" w:eastAsia="ko-KR"/>
        </w:rPr>
        <w:t xml:space="preserve"> 8</w:t>
      </w:r>
      <w:r w:rsidRPr="00D42139">
        <w:rPr>
          <w:b/>
          <w:i/>
          <w:lang w:val="en-US" w:eastAsia="ko-KR"/>
        </w:rPr>
        <w:t>: A UE can assume same CORESET configuration parameters, at lea</w:t>
      </w:r>
      <w:r w:rsidR="00BB506C" w:rsidRPr="00D42139">
        <w:rPr>
          <w:b/>
          <w:i/>
          <w:lang w:val="en-US" w:eastAsia="ko-KR"/>
        </w:rPr>
        <w:t>st for u</w:t>
      </w:r>
      <w:r w:rsidR="00921ADB" w:rsidRPr="00D42139">
        <w:rPr>
          <w:b/>
          <w:i/>
          <w:lang w:val="en-US" w:eastAsia="ko-KR"/>
        </w:rPr>
        <w:t xml:space="preserve">ser specific search, </w:t>
      </w:r>
      <w:r w:rsidRPr="00D42139">
        <w:rPr>
          <w:b/>
          <w:i/>
          <w:lang w:val="en-US" w:eastAsia="ko-KR"/>
        </w:rPr>
        <w:t>ac</w:t>
      </w:r>
      <w:r w:rsidR="002E1231" w:rsidRPr="00D42139">
        <w:rPr>
          <w:b/>
          <w:i/>
          <w:lang w:val="en-US" w:eastAsia="ko-KR"/>
        </w:rPr>
        <w:t>ross different configured BWPs with same numerology.</w:t>
      </w:r>
    </w:p>
    <w:p w14:paraId="7059B5ED" w14:textId="0F3B99D2" w:rsidR="00B13BE3" w:rsidRPr="00DF6F45" w:rsidRDefault="00C83183" w:rsidP="0006319F">
      <w:pPr>
        <w:spacing w:line="288" w:lineRule="auto"/>
        <w:jc w:val="both"/>
        <w:rPr>
          <w:lang w:val="en-US" w:eastAsia="ko-KR"/>
        </w:rPr>
      </w:pPr>
      <w:r w:rsidRPr="00D42139">
        <w:rPr>
          <w:lang w:val="en-US" w:eastAsia="ko-KR"/>
        </w:rPr>
        <w:t xml:space="preserve">For the case of group common control and the common control channels, </w:t>
      </w:r>
      <w:r w:rsidR="007B068E" w:rsidRPr="00D42139">
        <w:rPr>
          <w:lang w:val="en-US" w:eastAsia="ko-KR"/>
        </w:rPr>
        <w:t>since they are</w:t>
      </w:r>
      <w:r w:rsidR="00476E28" w:rsidRPr="00D42139">
        <w:rPr>
          <w:lang w:val="en-US" w:eastAsia="ko-KR"/>
        </w:rPr>
        <w:t xml:space="preserve"> configured for all UE’s or for a group of UEs, this CORESET may be configured in the BW region which may be </w:t>
      </w:r>
      <w:r w:rsidR="00765B78" w:rsidRPr="00D42139">
        <w:rPr>
          <w:lang w:val="en-US" w:eastAsia="ko-KR"/>
        </w:rPr>
        <w:t>common</w:t>
      </w:r>
      <w:r w:rsidR="00476E28" w:rsidRPr="00D42139">
        <w:rPr>
          <w:lang w:val="en-US" w:eastAsia="ko-KR"/>
        </w:rPr>
        <w:t xml:space="preserve"> acros</w:t>
      </w:r>
      <w:r w:rsidR="00765B78" w:rsidRPr="00D42139">
        <w:rPr>
          <w:lang w:val="en-US" w:eastAsia="ko-KR"/>
        </w:rPr>
        <w:t xml:space="preserve">s the various BWPs of </w:t>
      </w:r>
      <w:r w:rsidR="00711E95" w:rsidRPr="00D42139">
        <w:rPr>
          <w:lang w:val="en-US" w:eastAsia="ko-KR"/>
        </w:rPr>
        <w:t>different</w:t>
      </w:r>
      <w:r w:rsidR="00765B78" w:rsidRPr="00D42139">
        <w:rPr>
          <w:lang w:val="en-US" w:eastAsia="ko-KR"/>
        </w:rPr>
        <w:t xml:space="preserve"> UEs</w:t>
      </w:r>
      <w:r w:rsidR="007B068E" w:rsidRPr="00D42139">
        <w:rPr>
          <w:lang w:val="en-US" w:eastAsia="ko-KR"/>
        </w:rPr>
        <w:t xml:space="preserve">. It is not clear how this will be handled if different UE’s have BWP with different numerology and this CSS is present in the overlapping region as shown in figure below – </w:t>
      </w:r>
    </w:p>
    <w:p w14:paraId="04E3A3A2" w14:textId="77777777" w:rsidR="0080733B" w:rsidRPr="00D42139" w:rsidRDefault="00AB4008" w:rsidP="00092290">
      <w:pPr>
        <w:keepNext/>
        <w:jc w:val="center"/>
      </w:pPr>
      <w:r w:rsidRPr="00D42139">
        <w:rPr>
          <w:noProof/>
          <w:lang w:val="en-US"/>
        </w:rPr>
        <w:drawing>
          <wp:inline distT="0" distB="0" distL="0" distR="0" wp14:anchorId="4AD142B0" wp14:editId="1727BE43">
            <wp:extent cx="510639" cy="1730333"/>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529914" cy="1795648"/>
                    </a:xfrm>
                    <a:prstGeom prst="rect">
                      <a:avLst/>
                    </a:prstGeom>
                    <a:noFill/>
                  </pic:spPr>
                </pic:pic>
              </a:graphicData>
            </a:graphic>
          </wp:inline>
        </w:drawing>
      </w:r>
    </w:p>
    <w:p w14:paraId="37DBB4FC" w14:textId="551B3DE5" w:rsidR="007B068E" w:rsidRPr="00DF6F45" w:rsidRDefault="00086C42" w:rsidP="003B77F5">
      <w:pPr>
        <w:pStyle w:val="Caption"/>
        <w:tabs>
          <w:tab w:val="left" w:pos="716"/>
          <w:tab w:val="center" w:pos="4819"/>
        </w:tabs>
        <w:rPr>
          <w:lang w:val="en-US" w:eastAsia="ko-KR"/>
        </w:rPr>
      </w:pPr>
      <w:r>
        <w:tab/>
      </w:r>
      <w:r>
        <w:tab/>
      </w:r>
      <w:r w:rsidR="0080733B" w:rsidRPr="00D42139">
        <w:t xml:space="preserve">Figure </w:t>
      </w:r>
      <w:r w:rsidR="0080733B" w:rsidRPr="00DF6F45">
        <w:fldChar w:fldCharType="begin"/>
      </w:r>
      <w:r w:rsidR="0080733B" w:rsidRPr="00DF6F45">
        <w:instrText xml:space="preserve"> SEQ Figure \* ARABIC </w:instrText>
      </w:r>
      <w:r w:rsidR="0080733B" w:rsidRPr="00DF6F45">
        <w:fldChar w:fldCharType="separate"/>
      </w:r>
      <w:r w:rsidR="0080733B" w:rsidRPr="00DF6F45">
        <w:rPr>
          <w:noProof/>
        </w:rPr>
        <w:t>2</w:t>
      </w:r>
      <w:r w:rsidR="0080733B" w:rsidRPr="00DF6F45">
        <w:fldChar w:fldCharType="end"/>
      </w:r>
      <w:r w:rsidR="0080733B" w:rsidRPr="00DF6F45">
        <w:rPr>
          <w:rFonts w:hint="eastAsia"/>
          <w:lang w:eastAsia="ko-KR"/>
        </w:rPr>
        <w:t>. Example of CSS CORESET configuration</w:t>
      </w:r>
    </w:p>
    <w:p w14:paraId="7BEA178D" w14:textId="6448B516" w:rsidR="007B068E" w:rsidRPr="00DF6F45" w:rsidRDefault="00AB4008" w:rsidP="00092290">
      <w:pPr>
        <w:jc w:val="both"/>
        <w:rPr>
          <w:lang w:val="en-US" w:eastAsia="ko-KR"/>
        </w:rPr>
      </w:pPr>
      <w:r w:rsidRPr="00DF6F45">
        <w:rPr>
          <w:lang w:val="en-US" w:eastAsia="ko-KR"/>
        </w:rPr>
        <w:t xml:space="preserve">Hence, it is preferred that the UE be explicitly signaled via RRC about the CSS and group-common control signaling parameters. </w:t>
      </w:r>
    </w:p>
    <w:p w14:paraId="30345FB7" w14:textId="454278CC" w:rsidR="00AB4008" w:rsidRPr="00DF6F45" w:rsidRDefault="00AB4008" w:rsidP="00092290">
      <w:pPr>
        <w:jc w:val="both"/>
        <w:rPr>
          <w:b/>
          <w:i/>
          <w:lang w:val="en-US" w:eastAsia="ko-KR"/>
        </w:rPr>
      </w:pPr>
      <w:r w:rsidRPr="00DF6F45">
        <w:rPr>
          <w:b/>
          <w:i/>
          <w:lang w:val="en-US" w:eastAsia="ko-KR"/>
        </w:rPr>
        <w:t>Proposal</w:t>
      </w:r>
      <w:r w:rsidR="002A2071">
        <w:rPr>
          <w:b/>
          <w:i/>
          <w:lang w:val="en-US" w:eastAsia="ko-KR"/>
        </w:rPr>
        <w:t xml:space="preserve"> 9</w:t>
      </w:r>
      <w:r w:rsidRPr="00DF6F45">
        <w:rPr>
          <w:b/>
          <w:i/>
          <w:lang w:val="en-US" w:eastAsia="ko-KR"/>
        </w:rPr>
        <w:t xml:space="preserve">: NR UE will be UE specifically signaled about the CSS and group common </w:t>
      </w:r>
      <w:r w:rsidR="00BC6C53" w:rsidRPr="00DF6F45">
        <w:rPr>
          <w:b/>
          <w:i/>
          <w:lang w:val="en-US" w:eastAsia="ko-KR"/>
        </w:rPr>
        <w:t>control parameters per BWP.</w:t>
      </w:r>
    </w:p>
    <w:p w14:paraId="520ECE56" w14:textId="264BCD37" w:rsidR="0080733B" w:rsidRPr="00DF6F45" w:rsidRDefault="0080733B" w:rsidP="0080733B">
      <w:pPr>
        <w:jc w:val="both"/>
        <w:rPr>
          <w:b/>
          <w:u w:val="single"/>
          <w:lang w:val="en-US" w:eastAsia="ko-KR"/>
        </w:rPr>
      </w:pPr>
      <w:r w:rsidRPr="00DF6F45">
        <w:rPr>
          <w:rFonts w:hint="eastAsia"/>
          <w:b/>
          <w:u w:val="single"/>
          <w:lang w:val="en-US" w:eastAsia="ko-KR"/>
        </w:rPr>
        <w:t xml:space="preserve">Issue 2: </w:t>
      </w:r>
      <w:r w:rsidRPr="00DF6F45">
        <w:rPr>
          <w:b/>
          <w:u w:val="single"/>
          <w:lang w:val="en-US" w:eastAsia="ko-KR"/>
        </w:rPr>
        <w:t>Receiving</w:t>
      </w:r>
      <w:r w:rsidRPr="00DF6F45">
        <w:rPr>
          <w:rFonts w:hint="eastAsia"/>
          <w:b/>
          <w:u w:val="single"/>
          <w:lang w:val="en-US" w:eastAsia="ko-KR"/>
        </w:rPr>
        <w:t xml:space="preserve"> common DCI</w:t>
      </w:r>
    </w:p>
    <w:p w14:paraId="0593CE55" w14:textId="3BDD0837" w:rsidR="008D4D32" w:rsidRPr="00DF6F45" w:rsidRDefault="00704B47" w:rsidP="00457D61">
      <w:pPr>
        <w:spacing w:line="288" w:lineRule="auto"/>
        <w:jc w:val="both"/>
        <w:rPr>
          <w:lang w:val="en-US" w:eastAsia="ko-KR"/>
        </w:rPr>
      </w:pPr>
      <w:r w:rsidRPr="00DF6F45">
        <w:rPr>
          <w:rFonts w:hint="eastAsia"/>
          <w:lang w:val="en-US" w:eastAsia="ko-KR"/>
        </w:rPr>
        <w:t>Based on the agreement,</w:t>
      </w:r>
      <w:r w:rsidR="007F5B26" w:rsidRPr="00DF6F45">
        <w:rPr>
          <w:rFonts w:hint="eastAsia"/>
          <w:lang w:val="en-US" w:eastAsia="ko-KR"/>
        </w:rPr>
        <w:t xml:space="preserve"> </w:t>
      </w:r>
      <w:r w:rsidR="008D4D32" w:rsidRPr="00DF6F45">
        <w:rPr>
          <w:rFonts w:hint="eastAsia"/>
          <w:lang w:val="en-US" w:eastAsia="ko-KR"/>
        </w:rPr>
        <w:t xml:space="preserve">at least one of the configured BWPs </w:t>
      </w:r>
      <w:r w:rsidR="004A4B41">
        <w:rPr>
          <w:lang w:val="en-US" w:eastAsia="ko-KR"/>
        </w:rPr>
        <w:t>should</w:t>
      </w:r>
      <w:r w:rsidR="004A4B41" w:rsidRPr="00DF6F45">
        <w:rPr>
          <w:rFonts w:hint="eastAsia"/>
          <w:lang w:val="en-US" w:eastAsia="ko-KR"/>
        </w:rPr>
        <w:t xml:space="preserve"> </w:t>
      </w:r>
      <w:r w:rsidR="008D4D32" w:rsidRPr="00DF6F45">
        <w:rPr>
          <w:rFonts w:hint="eastAsia"/>
          <w:lang w:val="en-US" w:eastAsia="ko-KR"/>
        </w:rPr>
        <w:t xml:space="preserve">have a CORESET for CSS. However, the BWP having </w:t>
      </w:r>
      <w:r w:rsidRPr="00DF6F45">
        <w:rPr>
          <w:rFonts w:hint="eastAsia"/>
          <w:lang w:val="en-US" w:eastAsia="ko-KR"/>
        </w:rPr>
        <w:t xml:space="preserve">a </w:t>
      </w:r>
      <w:r w:rsidR="008D4D32" w:rsidRPr="00DF6F45">
        <w:rPr>
          <w:rFonts w:hint="eastAsia"/>
          <w:lang w:val="en-US" w:eastAsia="ko-KR"/>
        </w:rPr>
        <w:t xml:space="preserve">CORESET for CSS can be </w:t>
      </w:r>
      <w:r w:rsidR="008D4D32" w:rsidRPr="00DF6F45">
        <w:rPr>
          <w:lang w:val="en-US" w:eastAsia="ko-KR"/>
        </w:rPr>
        <w:t>deactivated</w:t>
      </w:r>
      <w:r w:rsidR="008D4D32" w:rsidRPr="00DF6F45">
        <w:rPr>
          <w:rFonts w:hint="eastAsia"/>
          <w:lang w:val="en-US" w:eastAsia="ko-KR"/>
        </w:rPr>
        <w:t xml:space="preserve"> </w:t>
      </w:r>
      <w:r w:rsidRPr="00DF6F45">
        <w:rPr>
          <w:rFonts w:hint="eastAsia"/>
          <w:lang w:val="en-US" w:eastAsia="ko-KR"/>
        </w:rPr>
        <w:t xml:space="preserve">and instead, the other BWP having a CORESET configured by only USS can be activated. In this case, the UE </w:t>
      </w:r>
      <w:r w:rsidRPr="00DF6F45">
        <w:rPr>
          <w:lang w:val="en-US" w:eastAsia="ko-KR"/>
        </w:rPr>
        <w:t xml:space="preserve">is not required to monitor the </w:t>
      </w:r>
      <w:r w:rsidRPr="00DF6F45">
        <w:rPr>
          <w:rFonts w:hint="eastAsia"/>
          <w:lang w:val="en-US" w:eastAsia="ko-KR"/>
        </w:rPr>
        <w:t>CSS. Then the issue is how to receive common DCI for the UE. In LTE, CSS is always monitored by the UE to receive various common DCIs for receiving/updating system information, RACH and paging procedure, transmit power control</w:t>
      </w:r>
      <w:r w:rsidR="00457D61" w:rsidRPr="00DF6F45">
        <w:rPr>
          <w:lang w:val="en-US" w:eastAsia="ko-KR"/>
        </w:rPr>
        <w:t>,</w:t>
      </w:r>
      <w:r w:rsidRPr="00DF6F45">
        <w:rPr>
          <w:rFonts w:hint="eastAsia"/>
          <w:lang w:val="en-US" w:eastAsia="ko-KR"/>
        </w:rPr>
        <w:t xml:space="preserve"> etc. Therefore, it should be ensured to receive the common DCI by the UE even for the case that there is no CSS CORESET within the activated BWP. Several alternatives can be considered as follows:</w:t>
      </w:r>
    </w:p>
    <w:p w14:paraId="5260250B" w14:textId="02CD9162" w:rsidR="008D4D32" w:rsidRPr="00DF6F45" w:rsidRDefault="00704B47" w:rsidP="00457D61">
      <w:pPr>
        <w:spacing w:line="288" w:lineRule="auto"/>
        <w:jc w:val="both"/>
        <w:rPr>
          <w:lang w:val="en-US" w:eastAsia="ko-KR"/>
        </w:rPr>
      </w:pPr>
      <w:r w:rsidRPr="00DF6F45">
        <w:rPr>
          <w:rFonts w:hint="eastAsia"/>
          <w:lang w:val="en-US" w:eastAsia="ko-KR"/>
        </w:rPr>
        <w:t xml:space="preserve">Alt 1) </w:t>
      </w:r>
      <w:proofErr w:type="gramStart"/>
      <w:r w:rsidR="00D5617B" w:rsidRPr="00DF6F45">
        <w:rPr>
          <w:rFonts w:hint="eastAsia"/>
          <w:lang w:val="en-US" w:eastAsia="ko-KR"/>
        </w:rPr>
        <w:t>T</w:t>
      </w:r>
      <w:r w:rsidR="001F1732" w:rsidRPr="00DF6F45">
        <w:rPr>
          <w:rFonts w:hint="eastAsia"/>
          <w:lang w:val="en-US" w:eastAsia="ko-KR"/>
        </w:rPr>
        <w:t>he</w:t>
      </w:r>
      <w:proofErr w:type="gramEnd"/>
      <w:r w:rsidR="001F1732" w:rsidRPr="00DF6F45">
        <w:rPr>
          <w:rFonts w:hint="eastAsia"/>
          <w:lang w:val="en-US" w:eastAsia="ko-KR"/>
        </w:rPr>
        <w:t xml:space="preserve"> </w:t>
      </w:r>
      <w:r w:rsidRPr="00DF6F45">
        <w:rPr>
          <w:rFonts w:hint="eastAsia"/>
          <w:lang w:val="en-US" w:eastAsia="ko-KR"/>
        </w:rPr>
        <w:t>gNB transmit</w:t>
      </w:r>
      <w:r w:rsidR="001F1732" w:rsidRPr="00DF6F45">
        <w:rPr>
          <w:rFonts w:hint="eastAsia"/>
          <w:lang w:val="en-US" w:eastAsia="ko-KR"/>
        </w:rPr>
        <w:t xml:space="preserve">s the common DCI through the USS </w:t>
      </w:r>
      <w:r w:rsidR="008E0165" w:rsidRPr="00DF6F45">
        <w:rPr>
          <w:rFonts w:hint="eastAsia"/>
          <w:lang w:val="en-US" w:eastAsia="ko-KR"/>
        </w:rPr>
        <w:t>in the activated BWP to</w:t>
      </w:r>
      <w:r w:rsidR="001F1732" w:rsidRPr="00DF6F45">
        <w:rPr>
          <w:rFonts w:hint="eastAsia"/>
          <w:lang w:val="en-US" w:eastAsia="ko-KR"/>
        </w:rPr>
        <w:t xml:space="preserve"> the UE</w:t>
      </w:r>
      <w:r w:rsidR="008E0165" w:rsidRPr="00DF6F45">
        <w:rPr>
          <w:rFonts w:hint="eastAsia"/>
          <w:lang w:val="en-US" w:eastAsia="ko-KR"/>
        </w:rPr>
        <w:t xml:space="preserve"> if the </w:t>
      </w:r>
      <w:r w:rsidR="003A238D" w:rsidRPr="00DF6F45">
        <w:rPr>
          <w:rFonts w:hint="eastAsia"/>
          <w:lang w:val="en-US" w:eastAsia="ko-KR"/>
        </w:rPr>
        <w:t xml:space="preserve">currently </w:t>
      </w:r>
      <w:r w:rsidR="008E0165" w:rsidRPr="00DF6F45">
        <w:rPr>
          <w:lang w:val="en-US" w:eastAsia="ko-KR"/>
        </w:rPr>
        <w:t xml:space="preserve">active </w:t>
      </w:r>
      <w:r w:rsidR="008E0165" w:rsidRPr="00DF6F45">
        <w:rPr>
          <w:rFonts w:hint="eastAsia"/>
          <w:lang w:val="en-US" w:eastAsia="ko-KR"/>
        </w:rPr>
        <w:t>B</w:t>
      </w:r>
      <w:r w:rsidR="008E0165" w:rsidRPr="00DF6F45">
        <w:rPr>
          <w:lang w:val="en-US" w:eastAsia="ko-KR"/>
        </w:rPr>
        <w:t xml:space="preserve">WP does not include </w:t>
      </w:r>
      <w:r w:rsidR="008E0165" w:rsidRPr="00DF6F45">
        <w:rPr>
          <w:rFonts w:hint="eastAsia"/>
          <w:lang w:val="en-US" w:eastAsia="ko-KR"/>
        </w:rPr>
        <w:t xml:space="preserve">CSS </w:t>
      </w:r>
      <w:r w:rsidR="003A238D" w:rsidRPr="00DF6F45">
        <w:rPr>
          <w:rFonts w:hint="eastAsia"/>
          <w:lang w:val="en-US" w:eastAsia="ko-KR"/>
        </w:rPr>
        <w:t>and there is a common DCI which should be received by the UE at a given time</w:t>
      </w:r>
      <w:r w:rsidR="00D5617B" w:rsidRPr="00DF6F45">
        <w:rPr>
          <w:rFonts w:hint="eastAsia"/>
          <w:lang w:val="en-US" w:eastAsia="ko-KR"/>
        </w:rPr>
        <w:t>.</w:t>
      </w:r>
      <w:r w:rsidR="001F1732" w:rsidRPr="00DF6F45">
        <w:rPr>
          <w:rFonts w:hint="eastAsia"/>
          <w:lang w:val="en-US" w:eastAsia="ko-KR"/>
        </w:rPr>
        <w:t xml:space="preserve"> </w:t>
      </w:r>
      <w:r w:rsidR="00D5617B" w:rsidRPr="00DF6F45">
        <w:rPr>
          <w:rFonts w:hint="eastAsia"/>
          <w:lang w:val="en-US" w:eastAsia="ko-KR"/>
        </w:rPr>
        <w:t>T</w:t>
      </w:r>
      <w:r w:rsidR="001F1732" w:rsidRPr="00DF6F45">
        <w:rPr>
          <w:rFonts w:hint="eastAsia"/>
          <w:lang w:val="en-US" w:eastAsia="ko-KR"/>
        </w:rPr>
        <w:t>he UE performs additional</w:t>
      </w:r>
      <w:r w:rsidR="003A238D" w:rsidRPr="00DF6F45">
        <w:rPr>
          <w:rFonts w:hint="eastAsia"/>
          <w:lang w:val="en-US" w:eastAsia="ko-KR"/>
        </w:rPr>
        <w:t>ly</w:t>
      </w:r>
      <w:r w:rsidR="001F1732" w:rsidRPr="00DF6F45">
        <w:rPr>
          <w:rFonts w:hint="eastAsia"/>
          <w:lang w:val="en-US" w:eastAsia="ko-KR"/>
        </w:rPr>
        <w:t xml:space="preserve"> blind decoding for the </w:t>
      </w:r>
      <w:r w:rsidR="00D5617B" w:rsidRPr="00DF6F45">
        <w:rPr>
          <w:rFonts w:hint="eastAsia"/>
          <w:lang w:val="en-US" w:eastAsia="ko-KR"/>
        </w:rPr>
        <w:t xml:space="preserve">expected </w:t>
      </w:r>
      <w:r w:rsidR="001F1732" w:rsidRPr="00DF6F45">
        <w:rPr>
          <w:rFonts w:hint="eastAsia"/>
          <w:lang w:val="en-US" w:eastAsia="ko-KR"/>
        </w:rPr>
        <w:t xml:space="preserve">common DCI </w:t>
      </w:r>
      <w:r w:rsidR="00D5617B" w:rsidRPr="00DF6F45">
        <w:rPr>
          <w:rFonts w:hint="eastAsia"/>
          <w:lang w:val="en-US" w:eastAsia="ko-KR"/>
        </w:rPr>
        <w:t xml:space="preserve">format </w:t>
      </w:r>
      <w:r w:rsidR="008E0165" w:rsidRPr="00DF6F45">
        <w:rPr>
          <w:rFonts w:hint="eastAsia"/>
          <w:lang w:val="en-US" w:eastAsia="ko-KR"/>
        </w:rPr>
        <w:t>for</w:t>
      </w:r>
      <w:r w:rsidR="001F1732" w:rsidRPr="00DF6F45">
        <w:rPr>
          <w:rFonts w:hint="eastAsia"/>
          <w:lang w:val="en-US" w:eastAsia="ko-KR"/>
        </w:rPr>
        <w:t xml:space="preserve"> </w:t>
      </w:r>
      <w:r w:rsidR="00D5617B" w:rsidRPr="00DF6F45">
        <w:rPr>
          <w:rFonts w:hint="eastAsia"/>
          <w:lang w:val="en-US" w:eastAsia="ko-KR"/>
        </w:rPr>
        <w:t>the</w:t>
      </w:r>
      <w:r w:rsidR="001F1732" w:rsidRPr="00DF6F45">
        <w:rPr>
          <w:rFonts w:hint="eastAsia"/>
          <w:lang w:val="en-US" w:eastAsia="ko-KR"/>
        </w:rPr>
        <w:t xml:space="preserve"> USS.</w:t>
      </w:r>
      <w:r w:rsidR="00D5617B" w:rsidRPr="00DF6F45">
        <w:rPr>
          <w:rFonts w:hint="eastAsia"/>
          <w:lang w:val="en-US" w:eastAsia="ko-KR"/>
        </w:rPr>
        <w:t xml:space="preserve"> Alt 1 corresponds to common DCI transmission in the UE-specific manner. The common DCI can be freely transmitted in any of PDCCH candidates in the given USS</w:t>
      </w:r>
      <w:r w:rsidR="008E0165" w:rsidRPr="00DF6F45">
        <w:rPr>
          <w:rFonts w:hint="eastAsia"/>
          <w:lang w:val="en-US" w:eastAsia="ko-KR"/>
        </w:rPr>
        <w:t>.</w:t>
      </w:r>
      <w:r w:rsidR="00D5617B" w:rsidRPr="00DF6F45">
        <w:rPr>
          <w:rFonts w:hint="eastAsia"/>
          <w:lang w:val="en-US" w:eastAsia="ko-KR"/>
        </w:rPr>
        <w:t xml:space="preserve"> </w:t>
      </w:r>
      <w:r w:rsidR="008E0165" w:rsidRPr="00DF6F45">
        <w:rPr>
          <w:rFonts w:hint="eastAsia"/>
          <w:lang w:val="en-US" w:eastAsia="ko-KR"/>
        </w:rPr>
        <w:t>O</w:t>
      </w:r>
      <w:r w:rsidR="00D5617B" w:rsidRPr="00DF6F45">
        <w:rPr>
          <w:rFonts w:hint="eastAsia"/>
          <w:lang w:val="en-US" w:eastAsia="ko-KR"/>
        </w:rPr>
        <w:t xml:space="preserve">r </w:t>
      </w:r>
      <w:r w:rsidR="008E0165" w:rsidRPr="00DF6F45">
        <w:rPr>
          <w:rFonts w:hint="eastAsia"/>
          <w:lang w:val="en-US" w:eastAsia="ko-KR"/>
        </w:rPr>
        <w:t xml:space="preserve">fixed/pre-configured a set of PDCCH candidates such as specific aggregation levels in the USS can be used for common DCI transmission. </w:t>
      </w:r>
    </w:p>
    <w:p w14:paraId="572C23A0" w14:textId="7786B49D" w:rsidR="008D4D32" w:rsidRPr="00D42139" w:rsidRDefault="008D4D32" w:rsidP="00092290">
      <w:pPr>
        <w:spacing w:line="288" w:lineRule="auto"/>
        <w:jc w:val="both"/>
        <w:rPr>
          <w:lang w:val="en-US" w:eastAsia="ko-KR"/>
        </w:rPr>
      </w:pPr>
      <w:r w:rsidRPr="00DF6F45">
        <w:rPr>
          <w:rFonts w:hint="eastAsia"/>
          <w:lang w:val="en-US" w:eastAsia="ko-KR"/>
        </w:rPr>
        <w:t>Alt 2</w:t>
      </w:r>
      <w:r w:rsidR="00704B47" w:rsidRPr="00DF6F45">
        <w:rPr>
          <w:rFonts w:hint="eastAsia"/>
          <w:lang w:val="en-US" w:eastAsia="ko-KR"/>
        </w:rPr>
        <w:t xml:space="preserve">) </w:t>
      </w:r>
      <w:proofErr w:type="gramStart"/>
      <w:r w:rsidR="00D5617B" w:rsidRPr="00DF6F45">
        <w:rPr>
          <w:rFonts w:hint="eastAsia"/>
          <w:lang w:val="en-US" w:eastAsia="ko-KR"/>
        </w:rPr>
        <w:t>The</w:t>
      </w:r>
      <w:proofErr w:type="gramEnd"/>
      <w:r w:rsidR="00D5617B" w:rsidRPr="00DF6F45">
        <w:rPr>
          <w:rFonts w:hint="eastAsia"/>
          <w:lang w:val="en-US" w:eastAsia="ko-KR"/>
        </w:rPr>
        <w:t xml:space="preserve"> gNB </w:t>
      </w:r>
      <w:r w:rsidR="008E0165" w:rsidRPr="00DF6F45">
        <w:rPr>
          <w:rFonts w:hint="eastAsia"/>
          <w:lang w:val="en-US" w:eastAsia="ko-KR"/>
        </w:rPr>
        <w:t>can c</w:t>
      </w:r>
      <w:r w:rsidR="00D5617B" w:rsidRPr="00DF6F45">
        <w:rPr>
          <w:rFonts w:hint="eastAsia"/>
          <w:lang w:val="en-US" w:eastAsia="ko-KR"/>
        </w:rPr>
        <w:t>onfigure a monitoring periodicity for CSS to the UE</w:t>
      </w:r>
      <w:r w:rsidR="008E0165" w:rsidRPr="00DF6F45">
        <w:rPr>
          <w:rFonts w:hint="eastAsia"/>
          <w:lang w:val="en-US" w:eastAsia="ko-KR"/>
        </w:rPr>
        <w:t>. The UE is forced to follow the configuration for the CSS monitoring regardless of wh</w:t>
      </w:r>
      <w:r w:rsidR="00E36AFE" w:rsidRPr="00DF6F45">
        <w:rPr>
          <w:rFonts w:hint="eastAsia"/>
          <w:lang w:val="en-US" w:eastAsia="ko-KR"/>
        </w:rPr>
        <w:t>ich BWP is activated at a given time</w:t>
      </w:r>
      <w:r w:rsidR="008E0165" w:rsidRPr="00DF6F45">
        <w:rPr>
          <w:rFonts w:hint="eastAsia"/>
          <w:lang w:val="en-US" w:eastAsia="ko-KR"/>
        </w:rPr>
        <w:t>. For example, let assume that BWP-1 has CSS (also USS) and BWP-2 has USS only. If BWP-2 is now activated and the next slot is configured to monitor CSS in BWP-1, then the BWP-1 is automatically</w:t>
      </w:r>
      <w:r w:rsidR="008E0165" w:rsidRPr="00D42139">
        <w:rPr>
          <w:rFonts w:hint="eastAsia"/>
          <w:lang w:val="en-US" w:eastAsia="ko-KR"/>
        </w:rPr>
        <w:t xml:space="preserve"> activated </w:t>
      </w:r>
      <w:r w:rsidR="00E36AFE" w:rsidRPr="00D42139">
        <w:rPr>
          <w:rFonts w:hint="eastAsia"/>
          <w:lang w:val="en-US" w:eastAsia="ko-KR"/>
        </w:rPr>
        <w:t xml:space="preserve">in the next slot </w:t>
      </w:r>
      <w:r w:rsidR="008E0165" w:rsidRPr="00D42139">
        <w:rPr>
          <w:rFonts w:hint="eastAsia"/>
          <w:lang w:val="en-US" w:eastAsia="ko-KR"/>
        </w:rPr>
        <w:t>and the UE can monitor</w:t>
      </w:r>
      <w:r w:rsidR="00E36AFE" w:rsidRPr="00D42139">
        <w:rPr>
          <w:rFonts w:hint="eastAsia"/>
          <w:lang w:val="en-US" w:eastAsia="ko-KR"/>
        </w:rPr>
        <w:t xml:space="preserve"> CSS in BWP-1 according to pre-configured monitoring periodicity.</w:t>
      </w:r>
    </w:p>
    <w:p w14:paraId="0D96F4A0" w14:textId="13CA7FBB" w:rsidR="00D24CED" w:rsidRPr="00DF6F45" w:rsidRDefault="008D4D32" w:rsidP="00092290">
      <w:pPr>
        <w:spacing w:line="288" w:lineRule="auto"/>
        <w:jc w:val="both"/>
        <w:rPr>
          <w:lang w:val="en-US" w:eastAsia="ko-KR"/>
        </w:rPr>
      </w:pPr>
      <w:r w:rsidRPr="00D42139">
        <w:rPr>
          <w:rFonts w:hint="eastAsia"/>
          <w:lang w:val="en-US" w:eastAsia="ko-KR"/>
        </w:rPr>
        <w:lastRenderedPageBreak/>
        <w:t>Alt 3</w:t>
      </w:r>
      <w:r w:rsidR="00704B47" w:rsidRPr="00D42139">
        <w:rPr>
          <w:rFonts w:hint="eastAsia"/>
          <w:lang w:val="en-US" w:eastAsia="ko-KR"/>
        </w:rPr>
        <w:t>)</w:t>
      </w:r>
      <w:r w:rsidR="00D5617B" w:rsidRPr="00D42139">
        <w:rPr>
          <w:rFonts w:hint="eastAsia"/>
          <w:lang w:val="en-US" w:eastAsia="ko-KR"/>
        </w:rPr>
        <w:t xml:space="preserve"> </w:t>
      </w:r>
      <w:proofErr w:type="gramStart"/>
      <w:r w:rsidR="008E0165" w:rsidRPr="00D42139">
        <w:rPr>
          <w:rFonts w:hint="eastAsia"/>
          <w:lang w:val="en-US" w:eastAsia="ko-KR"/>
        </w:rPr>
        <w:t>The</w:t>
      </w:r>
      <w:proofErr w:type="gramEnd"/>
      <w:r w:rsidR="008E0165" w:rsidRPr="00D42139">
        <w:rPr>
          <w:rFonts w:hint="eastAsia"/>
          <w:lang w:val="en-US" w:eastAsia="ko-KR"/>
        </w:rPr>
        <w:t xml:space="preserve"> gNB can transmit </w:t>
      </w:r>
      <w:r w:rsidR="00E53B6E" w:rsidRPr="00D42139">
        <w:rPr>
          <w:rFonts w:hint="eastAsia"/>
          <w:lang w:val="en-US" w:eastAsia="ko-KR"/>
        </w:rPr>
        <w:t xml:space="preserve">an indicator to activate the </w:t>
      </w:r>
      <w:r w:rsidR="008E0165" w:rsidRPr="00D42139">
        <w:rPr>
          <w:rFonts w:hint="eastAsia"/>
          <w:lang w:val="en-US" w:eastAsia="ko-KR"/>
        </w:rPr>
        <w:t>BWP</w:t>
      </w:r>
      <w:r w:rsidR="00E53B6E" w:rsidRPr="00D42139">
        <w:rPr>
          <w:rFonts w:hint="eastAsia"/>
          <w:lang w:val="en-US" w:eastAsia="ko-KR"/>
        </w:rPr>
        <w:t xml:space="preserve"> having CSS</w:t>
      </w:r>
      <w:r w:rsidR="00E36AFE" w:rsidRPr="00D42139">
        <w:rPr>
          <w:rFonts w:hint="eastAsia"/>
          <w:lang w:val="en-US" w:eastAsia="ko-KR"/>
        </w:rPr>
        <w:t xml:space="preserve"> to the UE </w:t>
      </w:r>
      <w:r w:rsidR="00D24CED" w:rsidRPr="00D42139">
        <w:rPr>
          <w:rFonts w:hint="eastAsia"/>
          <w:lang w:val="en-US" w:eastAsia="ko-KR"/>
        </w:rPr>
        <w:t>if</w:t>
      </w:r>
      <w:r w:rsidR="00E36AFE" w:rsidRPr="00D42139">
        <w:rPr>
          <w:rFonts w:hint="eastAsia"/>
          <w:lang w:val="en-US" w:eastAsia="ko-KR"/>
        </w:rPr>
        <w:t xml:space="preserve"> </w:t>
      </w:r>
      <w:r w:rsidR="00D24CED" w:rsidRPr="00DF6F45">
        <w:rPr>
          <w:rFonts w:hint="eastAsia"/>
          <w:lang w:val="en-US" w:eastAsia="ko-KR"/>
        </w:rPr>
        <w:t xml:space="preserve">the currently activated BWP does not include CSS and there is a common DCI which </w:t>
      </w:r>
      <w:r w:rsidR="00E53B6E" w:rsidRPr="00DF6F45">
        <w:rPr>
          <w:rFonts w:hint="eastAsia"/>
          <w:lang w:val="en-US" w:eastAsia="ko-KR"/>
        </w:rPr>
        <w:t xml:space="preserve">should be </w:t>
      </w:r>
      <w:r w:rsidR="00E53B6E" w:rsidRPr="00DF6F45">
        <w:rPr>
          <w:lang w:val="en-US" w:eastAsia="ko-KR"/>
        </w:rPr>
        <w:t>received</w:t>
      </w:r>
      <w:r w:rsidR="00E53B6E" w:rsidRPr="00DF6F45">
        <w:rPr>
          <w:rFonts w:hint="eastAsia"/>
          <w:lang w:val="en-US" w:eastAsia="ko-KR"/>
        </w:rPr>
        <w:t xml:space="preserve"> by</w:t>
      </w:r>
      <w:r w:rsidR="00D24CED" w:rsidRPr="00DF6F45">
        <w:rPr>
          <w:rFonts w:hint="eastAsia"/>
          <w:lang w:val="en-US" w:eastAsia="ko-KR"/>
        </w:rPr>
        <w:t xml:space="preserve"> the UE. If the UE receives the indication </w:t>
      </w:r>
      <w:r w:rsidR="00E53B6E" w:rsidRPr="00DF6F45">
        <w:rPr>
          <w:rFonts w:hint="eastAsia"/>
          <w:lang w:val="en-US" w:eastAsia="ko-KR"/>
        </w:rPr>
        <w:t>to activate the BWP having CSS, the UE changes the BWP and monitors the CSS</w:t>
      </w:r>
      <w:r w:rsidR="003A238D" w:rsidRPr="00DF6F45">
        <w:rPr>
          <w:rFonts w:hint="eastAsia"/>
          <w:lang w:val="en-US" w:eastAsia="ko-KR"/>
        </w:rPr>
        <w:t>.</w:t>
      </w:r>
      <w:r w:rsidR="00A43066" w:rsidRPr="00DF6F45">
        <w:rPr>
          <w:rFonts w:hint="eastAsia"/>
          <w:lang w:val="en-US" w:eastAsia="ko-KR"/>
        </w:rPr>
        <w:t xml:space="preserve"> In Alt 3, the BWP switching can be </w:t>
      </w:r>
      <w:r w:rsidR="00A43066" w:rsidRPr="00DF6F45">
        <w:rPr>
          <w:lang w:val="en-US" w:eastAsia="ko-KR"/>
        </w:rPr>
        <w:t>occurred</w:t>
      </w:r>
      <w:r w:rsidR="00A43066" w:rsidRPr="00DF6F45">
        <w:rPr>
          <w:rFonts w:hint="eastAsia"/>
          <w:lang w:val="en-US" w:eastAsia="ko-KR"/>
        </w:rPr>
        <w:t xml:space="preserve"> only for the purpose of receiving common DCI</w:t>
      </w:r>
      <w:r w:rsidR="00BC6541" w:rsidRPr="00DF6F45">
        <w:rPr>
          <w:rFonts w:hint="eastAsia"/>
          <w:lang w:val="en-US" w:eastAsia="ko-KR"/>
        </w:rPr>
        <w:t xml:space="preserve"> without data reception</w:t>
      </w:r>
      <w:r w:rsidR="00A43066" w:rsidRPr="00DF6F45">
        <w:rPr>
          <w:rFonts w:hint="eastAsia"/>
          <w:lang w:val="en-US" w:eastAsia="ko-KR"/>
        </w:rPr>
        <w:t xml:space="preserve">. </w:t>
      </w:r>
      <w:r w:rsidR="00BC6541" w:rsidRPr="00DF6F45">
        <w:rPr>
          <w:rFonts w:hint="eastAsia"/>
          <w:lang w:val="en-US" w:eastAsia="ko-KR"/>
        </w:rPr>
        <w:t>Therefore, there need some additional mechanism to distinguish whether this BWP switching is for common DCI reception or for data reception or for both to efficiently control the UE blind decoding.</w:t>
      </w:r>
    </w:p>
    <w:p w14:paraId="60EAC453" w14:textId="508D4066" w:rsidR="003D424E" w:rsidRPr="00DF6F45" w:rsidRDefault="00BC6541" w:rsidP="00457D61">
      <w:pPr>
        <w:spacing w:line="288" w:lineRule="auto"/>
        <w:jc w:val="both"/>
        <w:rPr>
          <w:lang w:val="en-US" w:eastAsia="ko-KR"/>
        </w:rPr>
      </w:pPr>
      <w:r w:rsidRPr="00DF6F45">
        <w:rPr>
          <w:rFonts w:hint="eastAsia"/>
          <w:lang w:val="en-US" w:eastAsia="ko-KR"/>
        </w:rPr>
        <w:t xml:space="preserve">Among above alternatives, Alt 2 and Alt 3 can cause frequent BWP </w:t>
      </w:r>
      <w:r w:rsidRPr="00DF6F45">
        <w:rPr>
          <w:lang w:val="en-US" w:eastAsia="ko-KR"/>
        </w:rPr>
        <w:t>switching</w:t>
      </w:r>
      <w:r w:rsidRPr="00DF6F45">
        <w:rPr>
          <w:rFonts w:hint="eastAsia"/>
          <w:lang w:val="en-US" w:eastAsia="ko-KR"/>
        </w:rPr>
        <w:t xml:space="preserve"> for CSS monitoring </w:t>
      </w:r>
      <w:r w:rsidRPr="00DF6F45">
        <w:rPr>
          <w:lang w:val="en-US" w:eastAsia="ko-KR"/>
        </w:rPr>
        <w:t>according to circumstances</w:t>
      </w:r>
      <w:r w:rsidRPr="00DF6F45">
        <w:rPr>
          <w:rFonts w:hint="eastAsia"/>
          <w:lang w:val="en-US" w:eastAsia="ko-KR"/>
        </w:rPr>
        <w:t xml:space="preserve">. This </w:t>
      </w:r>
      <w:r w:rsidRPr="00DF6F45">
        <w:rPr>
          <w:lang w:val="en-US" w:eastAsia="ko-KR"/>
        </w:rPr>
        <w:t xml:space="preserve">is not desirable </w:t>
      </w:r>
      <w:r w:rsidRPr="00DF6F45">
        <w:rPr>
          <w:rFonts w:hint="eastAsia"/>
          <w:lang w:val="en-US" w:eastAsia="ko-KR"/>
        </w:rPr>
        <w:t>to the UE in terms of power consumption. Therefore, Alt 1 is slightly preferred for the solution of common DCI reception.</w:t>
      </w:r>
    </w:p>
    <w:p w14:paraId="6D555CBC" w14:textId="22210B85" w:rsidR="001F61C1" w:rsidRPr="00DF6F45" w:rsidRDefault="007D703C" w:rsidP="00457D61">
      <w:pPr>
        <w:spacing w:line="288" w:lineRule="auto"/>
        <w:jc w:val="both"/>
        <w:rPr>
          <w:b/>
          <w:i/>
          <w:lang w:val="en-US" w:eastAsia="ko-KR"/>
        </w:rPr>
      </w:pPr>
      <w:r w:rsidRPr="00DF6F45">
        <w:rPr>
          <w:b/>
          <w:i/>
          <w:lang w:val="en-US" w:eastAsia="ko-KR"/>
        </w:rPr>
        <w:t>Observation</w:t>
      </w:r>
      <w:r w:rsidR="002A2071">
        <w:rPr>
          <w:b/>
          <w:i/>
          <w:lang w:val="en-US" w:eastAsia="ko-KR"/>
        </w:rPr>
        <w:t xml:space="preserve"> 2</w:t>
      </w:r>
      <w:r w:rsidR="0080733B" w:rsidRPr="00DF6F45">
        <w:rPr>
          <w:b/>
          <w:i/>
          <w:lang w:val="en-US" w:eastAsia="ko-KR"/>
        </w:rPr>
        <w:t xml:space="preserve">: </w:t>
      </w:r>
      <w:r w:rsidRPr="00DF6F45">
        <w:rPr>
          <w:rFonts w:hint="eastAsia"/>
          <w:b/>
          <w:i/>
          <w:lang w:val="en-US" w:eastAsia="ko-KR"/>
        </w:rPr>
        <w:t>A mechanism h</w:t>
      </w:r>
      <w:r w:rsidR="0080733B" w:rsidRPr="00DF6F45">
        <w:rPr>
          <w:b/>
          <w:i/>
          <w:lang w:val="en-US" w:eastAsia="ko-KR"/>
        </w:rPr>
        <w:t>ow to receive common DCI when active DL BWP does not include common search s</w:t>
      </w:r>
      <w:r w:rsidRPr="00DF6F45">
        <w:rPr>
          <w:b/>
          <w:i/>
          <w:lang w:val="en-US" w:eastAsia="ko-KR"/>
        </w:rPr>
        <w:t>pace should be further studied.</w:t>
      </w:r>
    </w:p>
    <w:p w14:paraId="70238F63" w14:textId="5E4EBD4E" w:rsidR="008174CA" w:rsidRPr="00DF6F45" w:rsidRDefault="00086C42" w:rsidP="00DF6F4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F6F45">
        <w:rPr>
          <w:lang w:val="en-US"/>
        </w:rPr>
        <w:t>PRB grid alignment</w:t>
      </w:r>
      <w:r w:rsidRPr="00DF6F45">
        <w:rPr>
          <w:szCs w:val="20"/>
          <w:lang w:val="en-US"/>
        </w:rPr>
        <w:t xml:space="preserve"> </w:t>
      </w:r>
      <w:r w:rsidR="00D775E3" w:rsidRPr="00DF6F45">
        <w:rPr>
          <w:szCs w:val="20"/>
          <w:lang w:val="en-US"/>
        </w:rPr>
        <w:t>within a wideband NR carrier</w:t>
      </w:r>
    </w:p>
    <w:p w14:paraId="4296D917" w14:textId="6457F0D6" w:rsidR="00FF2D09" w:rsidRPr="00DF6F45" w:rsidRDefault="003B538A">
      <w:pPr>
        <w:spacing w:line="288" w:lineRule="auto"/>
        <w:jc w:val="both"/>
        <w:rPr>
          <w:lang w:val="en-US" w:eastAsia="ko-KR"/>
        </w:rPr>
      </w:pPr>
      <w:r w:rsidRPr="00DF6F45">
        <w:rPr>
          <w:lang w:val="en-US" w:eastAsia="ko-KR"/>
        </w:rPr>
        <w:t xml:space="preserve">As </w:t>
      </w:r>
      <w:r w:rsidR="005469A0" w:rsidRPr="00DF6F45">
        <w:rPr>
          <w:lang w:val="en-US" w:eastAsia="ko-KR"/>
        </w:rPr>
        <w:t>per</w:t>
      </w:r>
      <w:r w:rsidRPr="00DF6F45">
        <w:rPr>
          <w:lang w:val="en-US" w:eastAsia="ko-KR"/>
        </w:rPr>
        <w:t xml:space="preserve"> RAN1</w:t>
      </w:r>
      <w:r w:rsidR="00D775E3" w:rsidRPr="00DF6F45">
        <w:rPr>
          <w:lang w:val="en-US" w:eastAsia="ko-KR"/>
        </w:rPr>
        <w:t>#</w:t>
      </w:r>
      <w:r w:rsidRPr="00DF6F45">
        <w:rPr>
          <w:lang w:val="en-US" w:eastAsia="ko-KR"/>
        </w:rPr>
        <w:t>89, s</w:t>
      </w:r>
      <w:r w:rsidRPr="00DF6F45">
        <w:rPr>
          <w:rFonts w:eastAsia="MS Mincho"/>
          <w:lang w:val="en-US" w:eastAsia="ja-JP"/>
        </w:rPr>
        <w:t xml:space="preserve">ame PRB grid structure for a given numerology is assumed for </w:t>
      </w:r>
      <w:r w:rsidR="00FF2D09" w:rsidRPr="00DF6F45">
        <w:rPr>
          <w:rFonts w:eastAsia="MS Mincho"/>
          <w:lang w:val="en-US" w:eastAsia="ja-JP"/>
        </w:rPr>
        <w:t>NB</w:t>
      </w:r>
      <w:r w:rsidRPr="00DF6F45">
        <w:rPr>
          <w:rFonts w:eastAsia="MS Mincho"/>
          <w:lang w:val="en-US" w:eastAsia="ja-JP"/>
        </w:rPr>
        <w:t xml:space="preserve"> UEs, CA UEs and </w:t>
      </w:r>
      <w:r w:rsidR="00FF2D09" w:rsidRPr="00DF6F45">
        <w:rPr>
          <w:rFonts w:eastAsia="MS Mincho"/>
          <w:lang w:val="en-US" w:eastAsia="ja-JP"/>
        </w:rPr>
        <w:t xml:space="preserve">WB </w:t>
      </w:r>
      <w:r w:rsidRPr="00DF6F45">
        <w:rPr>
          <w:rFonts w:eastAsia="MS Mincho"/>
          <w:lang w:val="en-US" w:eastAsia="ja-JP"/>
        </w:rPr>
        <w:t>UEs within a wideband NR carrier</w:t>
      </w:r>
      <w:r w:rsidR="00431F1D" w:rsidRPr="00DF6F45">
        <w:rPr>
          <w:rFonts w:eastAsia="MS Mincho"/>
          <w:lang w:val="en-US" w:eastAsia="ja-JP"/>
        </w:rPr>
        <w:t xml:space="preserve">. </w:t>
      </w:r>
      <w:r w:rsidR="00A42A1C" w:rsidRPr="00DF6F45">
        <w:rPr>
          <w:rFonts w:eastAsia="MS Mincho"/>
          <w:lang w:val="en-US" w:eastAsia="ja-JP"/>
        </w:rPr>
        <w:t>This is c</w:t>
      </w:r>
      <w:r w:rsidR="00077C1B" w:rsidRPr="00DF6F45">
        <w:rPr>
          <w:rFonts w:eastAsia="MS Mincho"/>
          <w:lang w:val="en-US" w:eastAsia="ja-JP"/>
        </w:rPr>
        <w:t xml:space="preserve">rucial for WB and NB </w:t>
      </w:r>
      <w:r w:rsidR="000529FF" w:rsidRPr="00DF6F45">
        <w:rPr>
          <w:rFonts w:eastAsia="MS Mincho"/>
          <w:lang w:val="en-US" w:eastAsia="ja-JP"/>
        </w:rPr>
        <w:t xml:space="preserve">UEs </w:t>
      </w:r>
      <w:r w:rsidR="00077C1B" w:rsidRPr="00DF6F45">
        <w:rPr>
          <w:rFonts w:eastAsia="MS Mincho"/>
          <w:lang w:val="en-US" w:eastAsia="ja-JP"/>
        </w:rPr>
        <w:t xml:space="preserve">co-existence </w:t>
      </w:r>
      <w:r w:rsidR="00FF2D09" w:rsidRPr="00DF6F45">
        <w:rPr>
          <w:rFonts w:eastAsia="MS Mincho"/>
          <w:lang w:val="en-US" w:eastAsia="ja-JP"/>
        </w:rPr>
        <w:t>with</w:t>
      </w:r>
      <w:r w:rsidR="00077C1B" w:rsidRPr="00DF6F45">
        <w:rPr>
          <w:rFonts w:eastAsia="MS Mincho"/>
          <w:lang w:val="en-US" w:eastAsia="ja-JP"/>
        </w:rPr>
        <w:t xml:space="preserve"> multiplexing</w:t>
      </w:r>
      <w:r w:rsidR="00A42A1C" w:rsidRPr="00DF6F45">
        <w:rPr>
          <w:rFonts w:eastAsia="MS Mincho"/>
          <w:lang w:val="en-US" w:eastAsia="ja-JP"/>
        </w:rPr>
        <w:t xml:space="preserve"> efficien</w:t>
      </w:r>
      <w:r w:rsidR="00FF2D09" w:rsidRPr="00DF6F45">
        <w:rPr>
          <w:rFonts w:eastAsia="MS Mincho"/>
          <w:lang w:val="en-US" w:eastAsia="ja-JP"/>
        </w:rPr>
        <w:t>cy</w:t>
      </w:r>
      <w:r w:rsidR="00A42A1C" w:rsidRPr="00DF6F45">
        <w:rPr>
          <w:rFonts w:eastAsia="MS Mincho"/>
          <w:lang w:val="en-US" w:eastAsia="ja-JP"/>
        </w:rPr>
        <w:t>, for instance to support MU-MIMO. The i</w:t>
      </w:r>
      <w:r w:rsidR="00077C1B" w:rsidRPr="00DF6F45">
        <w:rPr>
          <w:rFonts w:eastAsia="MS Mincho"/>
          <w:lang w:val="en-US" w:eastAsia="ja-JP"/>
        </w:rPr>
        <w:t xml:space="preserve">ssue </w:t>
      </w:r>
      <w:r w:rsidR="00A42A1C" w:rsidRPr="00DF6F45">
        <w:rPr>
          <w:rFonts w:eastAsia="MS Mincho"/>
          <w:lang w:val="en-US" w:eastAsia="ja-JP"/>
        </w:rPr>
        <w:t xml:space="preserve">becomes more </w:t>
      </w:r>
      <w:r w:rsidR="00077C1B" w:rsidRPr="00DF6F45">
        <w:rPr>
          <w:rFonts w:eastAsia="MS Mincho"/>
          <w:lang w:val="en-US" w:eastAsia="ja-JP"/>
        </w:rPr>
        <w:t xml:space="preserve">prominent for multiple </w:t>
      </w:r>
      <w:r w:rsidR="00A42A1C" w:rsidRPr="00DF6F45">
        <w:rPr>
          <w:rFonts w:eastAsia="MS Mincho"/>
          <w:lang w:val="en-US" w:eastAsia="ja-JP"/>
        </w:rPr>
        <w:t>n</w:t>
      </w:r>
      <w:r w:rsidR="00077C1B" w:rsidRPr="00DF6F45">
        <w:rPr>
          <w:rFonts w:eastAsia="MS Mincho"/>
          <w:lang w:val="en-US" w:eastAsia="ja-JP"/>
        </w:rPr>
        <w:t xml:space="preserve">umerologies used by WB and NB </w:t>
      </w:r>
      <w:r w:rsidR="000529FF" w:rsidRPr="00DF6F45">
        <w:rPr>
          <w:rFonts w:eastAsia="MS Mincho"/>
          <w:lang w:val="en-US" w:eastAsia="ja-JP"/>
        </w:rPr>
        <w:t>UE</w:t>
      </w:r>
      <w:r w:rsidR="00077C1B" w:rsidRPr="00DF6F45">
        <w:rPr>
          <w:rFonts w:eastAsia="MS Mincho"/>
          <w:lang w:val="en-US" w:eastAsia="ja-JP"/>
        </w:rPr>
        <w:t>s</w:t>
      </w:r>
      <w:r w:rsidR="00A42A1C" w:rsidRPr="00DF6F45">
        <w:rPr>
          <w:rFonts w:eastAsia="MS Mincho"/>
          <w:lang w:val="en-US" w:eastAsia="ja-JP"/>
        </w:rPr>
        <w:t xml:space="preserve">. However it is not clear if any more new issues arise due to wideband operation as compared to the normal PRB grid alignment issue being discussed in NR. </w:t>
      </w:r>
      <w:r w:rsidR="00FF2D09" w:rsidRPr="00DF6F45">
        <w:rPr>
          <w:rFonts w:eastAsia="MS Mincho"/>
          <w:lang w:val="en-US" w:eastAsia="ja-JP"/>
        </w:rPr>
        <w:t xml:space="preserve">Figure 1 illustrates </w:t>
      </w:r>
      <w:r w:rsidR="00A42A1C" w:rsidRPr="00DF6F45">
        <w:rPr>
          <w:rFonts w:eastAsia="MS Mincho"/>
          <w:lang w:val="en-US" w:eastAsia="ja-JP"/>
        </w:rPr>
        <w:t xml:space="preserve">two </w:t>
      </w:r>
      <w:r w:rsidR="004B2A3E" w:rsidRPr="00DF6F45">
        <w:rPr>
          <w:rFonts w:eastAsia="MS Mincho"/>
          <w:lang w:val="en-US" w:eastAsia="ja-JP"/>
        </w:rPr>
        <w:t xml:space="preserve">potential </w:t>
      </w:r>
      <w:r w:rsidR="00A42A1C" w:rsidRPr="00DF6F45">
        <w:rPr>
          <w:rFonts w:eastAsia="MS Mincho"/>
          <w:lang w:val="en-US" w:eastAsia="ja-JP"/>
        </w:rPr>
        <w:t>alternative</w:t>
      </w:r>
      <w:r w:rsidR="000529FF" w:rsidRPr="00DF6F45">
        <w:rPr>
          <w:rFonts w:eastAsia="MS Mincho"/>
          <w:lang w:val="en-US" w:eastAsia="ja-JP"/>
        </w:rPr>
        <w:t xml:space="preserve">s </w:t>
      </w:r>
      <w:r w:rsidR="00A42A1C" w:rsidRPr="00DF6F45">
        <w:rPr>
          <w:rFonts w:eastAsia="MS Mincho"/>
          <w:lang w:val="en-US" w:eastAsia="ja-JP"/>
        </w:rPr>
        <w:t>and can be used for wideband as well.</w:t>
      </w:r>
      <w:r w:rsidR="005469A0" w:rsidRPr="00DF6F45">
        <w:rPr>
          <w:rFonts w:eastAsia="MS Mincho"/>
          <w:lang w:val="en-US" w:eastAsia="ja-JP"/>
        </w:rPr>
        <w:t xml:space="preserve"> </w:t>
      </w:r>
      <w:r w:rsidR="00FF2D09" w:rsidRPr="00DF6F45">
        <w:rPr>
          <w:lang w:val="en-US" w:eastAsia="ko-KR"/>
        </w:rPr>
        <w:t xml:space="preserve">Since a NB UE may not know the WB UE operations and the system BW, it seems more flexible to support Alt.2 for PRB grid alignment. </w:t>
      </w:r>
    </w:p>
    <w:p w14:paraId="30132398" w14:textId="4537E9E9" w:rsidR="00FF2D09" w:rsidRPr="00DF6F45" w:rsidRDefault="00FF2D09">
      <w:pPr>
        <w:spacing w:line="288" w:lineRule="auto"/>
        <w:jc w:val="both"/>
        <w:rPr>
          <w:b/>
          <w:i/>
          <w:lang w:val="en-US" w:eastAsia="ko-KR"/>
        </w:rPr>
      </w:pPr>
      <w:r w:rsidRPr="00DF6F45">
        <w:rPr>
          <w:b/>
          <w:i/>
          <w:lang w:val="en-US" w:eastAsia="ko-KR"/>
        </w:rPr>
        <w:t xml:space="preserve">Proposal </w:t>
      </w:r>
      <w:r w:rsidR="002A2071">
        <w:rPr>
          <w:b/>
          <w:i/>
          <w:lang w:val="en-US" w:eastAsia="ko-KR"/>
        </w:rPr>
        <w:t>10</w:t>
      </w:r>
      <w:r w:rsidRPr="00DF6F45">
        <w:rPr>
          <w:b/>
          <w:i/>
          <w:lang w:val="en-US" w:eastAsia="ko-KR"/>
        </w:rPr>
        <w:t xml:space="preserve">: Support Alt 2 for PRB grid alignment in wideband system design.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4"/>
        <w:gridCol w:w="4815"/>
      </w:tblGrid>
      <w:tr w:rsidR="00D42139" w:rsidRPr="00DF6F45" w14:paraId="6F318DE6" w14:textId="77777777" w:rsidTr="005431C7">
        <w:trPr>
          <w:trHeight w:val="170"/>
        </w:trPr>
        <w:tc>
          <w:tcPr>
            <w:tcW w:w="4814" w:type="dxa"/>
          </w:tcPr>
          <w:p w14:paraId="5264D47C" w14:textId="2474C416" w:rsidR="00D775E3" w:rsidRPr="00D42139" w:rsidRDefault="00D775E3" w:rsidP="00092290">
            <w:pPr>
              <w:jc w:val="both"/>
              <w:rPr>
                <w:rFonts w:eastAsia="MS Mincho"/>
                <w:lang w:val="en-US" w:eastAsia="ja-JP"/>
              </w:rPr>
            </w:pPr>
            <w:r w:rsidRPr="00D42139">
              <w:rPr>
                <w:rFonts w:eastAsia="MS Mincho"/>
                <w:noProof/>
                <w:lang w:val="en-US"/>
              </w:rPr>
              <w:drawing>
                <wp:inline distT="0" distB="0" distL="0" distR="0" wp14:anchorId="2E934693" wp14:editId="6DB34B30">
                  <wp:extent cx="3041372" cy="806086"/>
                  <wp:effectExtent l="0" t="0" r="698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75774" cy="815204"/>
                          </a:xfrm>
                          <a:prstGeom prst="rect">
                            <a:avLst/>
                          </a:prstGeom>
                          <a:noFill/>
                          <a:extLst/>
                        </pic:spPr>
                      </pic:pic>
                    </a:graphicData>
                  </a:graphic>
                </wp:inline>
              </w:drawing>
            </w:r>
          </w:p>
        </w:tc>
        <w:tc>
          <w:tcPr>
            <w:tcW w:w="4815" w:type="dxa"/>
          </w:tcPr>
          <w:p w14:paraId="01387D74" w14:textId="1D4C4957" w:rsidR="00D775E3" w:rsidRPr="00D42139" w:rsidRDefault="00D775E3" w:rsidP="00092290">
            <w:pPr>
              <w:jc w:val="both"/>
              <w:rPr>
                <w:rFonts w:eastAsia="MS Mincho"/>
                <w:lang w:val="en-US" w:eastAsia="ja-JP"/>
              </w:rPr>
            </w:pPr>
            <w:r w:rsidRPr="00D42139">
              <w:rPr>
                <w:rFonts w:eastAsia="MS Mincho"/>
                <w:noProof/>
                <w:lang w:val="en-US"/>
              </w:rPr>
              <w:drawing>
                <wp:inline distT="0" distB="0" distL="0" distR="0" wp14:anchorId="22E16D4F" wp14:editId="1DF83701">
                  <wp:extent cx="2898630" cy="778594"/>
                  <wp:effectExtent l="0" t="0" r="0" b="254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7130" cy="786249"/>
                          </a:xfrm>
                          <a:prstGeom prst="rect">
                            <a:avLst/>
                          </a:prstGeom>
                          <a:noFill/>
                          <a:extLst/>
                        </pic:spPr>
                      </pic:pic>
                    </a:graphicData>
                  </a:graphic>
                </wp:inline>
              </w:drawing>
            </w:r>
          </w:p>
        </w:tc>
      </w:tr>
      <w:tr w:rsidR="00D42139" w:rsidRPr="00DF6F45" w14:paraId="13D4BA23" w14:textId="77777777" w:rsidTr="005431C7">
        <w:trPr>
          <w:trHeight w:val="170"/>
        </w:trPr>
        <w:tc>
          <w:tcPr>
            <w:tcW w:w="4814" w:type="dxa"/>
          </w:tcPr>
          <w:p w14:paraId="5B1DAAB0" w14:textId="3B4B6D26" w:rsidR="00D775E3" w:rsidRPr="00DF6F45" w:rsidRDefault="00D775E3" w:rsidP="003B77F5">
            <w:pPr>
              <w:jc w:val="center"/>
              <w:rPr>
                <w:rFonts w:eastAsia="MS Mincho"/>
                <w:lang w:val="en-US" w:eastAsia="ja-JP"/>
              </w:rPr>
            </w:pPr>
            <w:r w:rsidRPr="00DF6F45">
              <w:rPr>
                <w:rFonts w:eastAsia="MS Mincho"/>
                <w:lang w:val="en-US" w:eastAsia="ja-JP"/>
              </w:rPr>
              <w:t>Alt 1: Aligned at end of frequency</w:t>
            </w:r>
          </w:p>
        </w:tc>
        <w:tc>
          <w:tcPr>
            <w:tcW w:w="4815" w:type="dxa"/>
          </w:tcPr>
          <w:p w14:paraId="1C2A0A2A" w14:textId="28E525B6" w:rsidR="00D775E3" w:rsidRPr="00DF6F45" w:rsidRDefault="00D775E3" w:rsidP="003B77F5">
            <w:pPr>
              <w:keepNext/>
              <w:jc w:val="center"/>
              <w:rPr>
                <w:rFonts w:eastAsia="MS Mincho"/>
                <w:lang w:val="en-US" w:eastAsia="ja-JP"/>
              </w:rPr>
            </w:pPr>
            <w:r w:rsidRPr="00DF6F45">
              <w:rPr>
                <w:rFonts w:eastAsia="MS Mincho"/>
                <w:lang w:val="en-US" w:eastAsia="ja-JP"/>
              </w:rPr>
              <w:t>Alt 2: Aligned at center of frequency</w:t>
            </w:r>
          </w:p>
        </w:tc>
      </w:tr>
    </w:tbl>
    <w:p w14:paraId="3518A8A8" w14:textId="00B1E12E" w:rsidR="00354DB1" w:rsidRPr="003B77F5" w:rsidRDefault="00354DB1" w:rsidP="003B77F5">
      <w:pPr>
        <w:pStyle w:val="Caption"/>
        <w:tabs>
          <w:tab w:val="left" w:pos="716"/>
          <w:tab w:val="center" w:pos="4819"/>
        </w:tabs>
        <w:jc w:val="center"/>
      </w:pPr>
      <w:r w:rsidRPr="003B77F5">
        <w:t xml:space="preserve">Figure </w:t>
      </w:r>
      <w:r w:rsidRPr="003B77F5">
        <w:fldChar w:fldCharType="begin"/>
      </w:r>
      <w:r w:rsidRPr="003B77F5">
        <w:instrText xml:space="preserve"> SEQ Figure \* ARABIC </w:instrText>
      </w:r>
      <w:r w:rsidRPr="003B77F5">
        <w:fldChar w:fldCharType="separate"/>
      </w:r>
      <w:r w:rsidR="0080733B" w:rsidRPr="003B77F5">
        <w:t>3</w:t>
      </w:r>
      <w:r w:rsidRPr="003B77F5">
        <w:fldChar w:fldCharType="end"/>
      </w:r>
      <w:r w:rsidRPr="003B77F5">
        <w:t>: Alternatives for PRB grid alignment</w:t>
      </w:r>
    </w:p>
    <w:p w14:paraId="3BE8580C" w14:textId="657B7A97" w:rsidR="006D6090" w:rsidRPr="003B77F5" w:rsidRDefault="006D6090" w:rsidP="003B77F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3B77F5">
        <w:rPr>
          <w:lang w:val="en-US"/>
        </w:rPr>
        <w:t xml:space="preserve">Other issues </w:t>
      </w:r>
    </w:p>
    <w:p w14:paraId="3C594A8B" w14:textId="0D728594" w:rsidR="006E5D15" w:rsidRPr="00D42139" w:rsidRDefault="006E5D15">
      <w:pPr>
        <w:jc w:val="both"/>
        <w:rPr>
          <w:b/>
          <w:sz w:val="24"/>
          <w:u w:val="single"/>
          <w:lang w:val="en-US"/>
        </w:rPr>
      </w:pPr>
      <w:r w:rsidRPr="00D42139">
        <w:rPr>
          <w:b/>
          <w:sz w:val="24"/>
          <w:u w:val="single"/>
          <w:lang w:val="en-US"/>
        </w:rPr>
        <w:t>Retransmission across BWP</w:t>
      </w:r>
      <w:r w:rsidR="00B90CD6" w:rsidRPr="00D42139">
        <w:rPr>
          <w:b/>
          <w:sz w:val="24"/>
          <w:u w:val="single"/>
          <w:lang w:val="en-US"/>
        </w:rPr>
        <w:t>s</w:t>
      </w:r>
    </w:p>
    <w:p w14:paraId="783D980D" w14:textId="3BDC4AC0" w:rsidR="006E5D15" w:rsidRPr="00D42139" w:rsidRDefault="00A44033">
      <w:pPr>
        <w:jc w:val="both"/>
        <w:rPr>
          <w:lang w:val="en-US"/>
        </w:rPr>
      </w:pPr>
      <w:r w:rsidRPr="00D42139">
        <w:rPr>
          <w:lang w:val="en-US"/>
        </w:rPr>
        <w:t xml:space="preserve">The following </w:t>
      </w:r>
      <w:r w:rsidR="00240404" w:rsidRPr="00D42139">
        <w:rPr>
          <w:lang w:val="en-US"/>
        </w:rPr>
        <w:t>agreements</w:t>
      </w:r>
      <w:r w:rsidRPr="00D42139">
        <w:rPr>
          <w:lang w:val="en-US"/>
        </w:rPr>
        <w:t xml:space="preserve"> was made in last RAN1 meeting:</w:t>
      </w:r>
    </w:p>
    <w:p w14:paraId="05D5E9C3" w14:textId="77777777" w:rsidR="009E70C0" w:rsidRPr="00DF6F45" w:rsidRDefault="009E70C0" w:rsidP="009E70C0">
      <w:pPr>
        <w:rPr>
          <w:rFonts w:eastAsia="Yu Mincho"/>
          <w:b/>
          <w:u w:val="single"/>
          <w:lang w:eastAsia="ja-JP"/>
        </w:rPr>
      </w:pPr>
      <w:r w:rsidRPr="00DF6F45">
        <w:rPr>
          <w:rFonts w:eastAsia="Yu Mincho" w:hint="eastAsia"/>
          <w:b/>
          <w:sz w:val="21"/>
          <w:highlight w:val="green"/>
          <w:u w:val="single"/>
          <w:lang w:eastAsia="ja-JP"/>
        </w:rPr>
        <w:t>Agreements:</w:t>
      </w:r>
    </w:p>
    <w:p w14:paraId="2714ABC0" w14:textId="77777777" w:rsidR="00292C13" w:rsidRPr="00DF6F45" w:rsidRDefault="00292C13" w:rsidP="00292C13">
      <w:pPr>
        <w:numPr>
          <w:ilvl w:val="0"/>
          <w:numId w:val="44"/>
        </w:numPr>
        <w:spacing w:after="0"/>
      </w:pPr>
      <w:r w:rsidRPr="00DF6F45">
        <w:rPr>
          <w:rFonts w:eastAsia="Yu Mincho"/>
          <w:lang w:eastAsia="ja-JP"/>
        </w:rPr>
        <w:t>One TB is mapped to one DL/UL carrier.</w:t>
      </w:r>
    </w:p>
    <w:p w14:paraId="5F0DA5A3" w14:textId="77777777" w:rsidR="00292C13" w:rsidRPr="00DF6F45" w:rsidRDefault="00292C13" w:rsidP="00292C13">
      <w:pPr>
        <w:numPr>
          <w:ilvl w:val="0"/>
          <w:numId w:val="44"/>
        </w:numPr>
        <w:spacing w:after="0"/>
      </w:pPr>
      <w:r w:rsidRPr="00DF6F45">
        <w:rPr>
          <w:rFonts w:eastAsia="Yu Mincho"/>
          <w:lang w:eastAsia="ja-JP"/>
        </w:rPr>
        <w:t>Re-transmission of a TB cannot take place on different carrier than the initial transmission.</w:t>
      </w:r>
    </w:p>
    <w:p w14:paraId="29984398" w14:textId="77777777" w:rsidR="00292C13" w:rsidRPr="00DF6F45" w:rsidRDefault="00292C13" w:rsidP="00292C13">
      <w:pPr>
        <w:numPr>
          <w:ilvl w:val="0"/>
          <w:numId w:val="44"/>
        </w:numPr>
        <w:spacing w:after="0"/>
        <w:rPr>
          <w:rFonts w:eastAsia="Yu Mincho"/>
          <w:b/>
          <w:lang w:eastAsia="ja-JP"/>
        </w:rPr>
      </w:pPr>
      <w:r w:rsidRPr="00DF6F45">
        <w:rPr>
          <w:b/>
        </w:rPr>
        <w:t>Working assumption:</w:t>
      </w:r>
    </w:p>
    <w:p w14:paraId="5165EED7" w14:textId="77777777" w:rsidR="00292C13" w:rsidRPr="00DF6F45" w:rsidRDefault="00292C13" w:rsidP="00292C13">
      <w:pPr>
        <w:numPr>
          <w:ilvl w:val="1"/>
          <w:numId w:val="44"/>
        </w:numPr>
        <w:spacing w:after="0"/>
        <w:rPr>
          <w:rFonts w:eastAsia="Yu Mincho"/>
          <w:lang w:eastAsia="ja-JP"/>
        </w:rPr>
      </w:pPr>
      <w:r w:rsidRPr="00DF6F45">
        <w:t>Re-transmission of a TB cannot take place on different numerology than the initial transmission in Rel. 15.</w:t>
      </w:r>
    </w:p>
    <w:p w14:paraId="63A15AFE" w14:textId="77777777" w:rsidR="009E70C0" w:rsidRPr="00DF6F45" w:rsidRDefault="009E70C0" w:rsidP="009E70C0">
      <w:pPr>
        <w:rPr>
          <w:rFonts w:eastAsia="Yu Mincho"/>
          <w:b/>
          <w:u w:val="single"/>
          <w:lang w:eastAsia="ja-JP"/>
        </w:rPr>
      </w:pPr>
      <w:r w:rsidRPr="00DF6F45">
        <w:rPr>
          <w:rFonts w:eastAsia="Yu Mincho" w:hint="eastAsia"/>
          <w:b/>
          <w:sz w:val="21"/>
          <w:highlight w:val="green"/>
          <w:u w:val="single"/>
          <w:lang w:eastAsia="ja-JP"/>
        </w:rPr>
        <w:t>Agreements:</w:t>
      </w:r>
    </w:p>
    <w:p w14:paraId="402CA8A0" w14:textId="77777777" w:rsidR="009E70C0" w:rsidRPr="00DF6F45" w:rsidRDefault="009E70C0" w:rsidP="009E70C0">
      <w:pPr>
        <w:numPr>
          <w:ilvl w:val="0"/>
          <w:numId w:val="44"/>
        </w:numPr>
        <w:spacing w:after="0"/>
      </w:pPr>
      <w:r w:rsidRPr="00DF6F45">
        <w:rPr>
          <w:rFonts w:eastAsia="Yu Mincho" w:hint="eastAsia"/>
          <w:lang w:eastAsia="ja-JP"/>
        </w:rPr>
        <w:t>For HARQ</w:t>
      </w:r>
      <w:r w:rsidRPr="00DF6F45">
        <w:rPr>
          <w:rFonts w:eastAsia="Yu Mincho"/>
          <w:lang w:eastAsia="ja-JP"/>
        </w:rPr>
        <w:t>,</w:t>
      </w:r>
    </w:p>
    <w:p w14:paraId="0C4DE09D" w14:textId="77777777" w:rsidR="009E70C0" w:rsidRPr="00DF6F45" w:rsidRDefault="009E70C0" w:rsidP="009E70C0">
      <w:pPr>
        <w:numPr>
          <w:ilvl w:val="1"/>
          <w:numId w:val="44"/>
        </w:numPr>
        <w:spacing w:after="0"/>
      </w:pPr>
      <w:r w:rsidRPr="00DF6F45">
        <w:t>The retransmissions can occupy a different frequency allocation than the initial transmission (Note, this is supported in LTE)</w:t>
      </w:r>
    </w:p>
    <w:p w14:paraId="22AE9C63" w14:textId="77777777" w:rsidR="009E70C0" w:rsidRPr="00DF6F45" w:rsidRDefault="009E70C0" w:rsidP="009E70C0">
      <w:pPr>
        <w:numPr>
          <w:ilvl w:val="1"/>
          <w:numId w:val="44"/>
        </w:numPr>
        <w:spacing w:after="0"/>
      </w:pPr>
      <w:r w:rsidRPr="00DF6F45">
        <w:t>For downlink, the transmission durations for a given TB may not be the same in some cases.</w:t>
      </w:r>
    </w:p>
    <w:p w14:paraId="1FB24208" w14:textId="77777777" w:rsidR="009E70C0" w:rsidRPr="00DF6F45" w:rsidRDefault="009E70C0" w:rsidP="009E70C0">
      <w:pPr>
        <w:numPr>
          <w:ilvl w:val="2"/>
          <w:numId w:val="44"/>
        </w:numPr>
        <w:spacing w:after="0"/>
      </w:pPr>
      <w:r w:rsidRPr="00DF6F45">
        <w:t>Among initial transmission and retransmissions for a data having fixed DMRS position relative to the start of the slot</w:t>
      </w:r>
    </w:p>
    <w:p w14:paraId="149BEC00" w14:textId="77777777" w:rsidR="009E70C0" w:rsidRPr="00DF6F45" w:rsidRDefault="009E70C0" w:rsidP="009E70C0">
      <w:pPr>
        <w:numPr>
          <w:ilvl w:val="2"/>
          <w:numId w:val="44"/>
        </w:numPr>
        <w:spacing w:after="0"/>
      </w:pPr>
      <w:r w:rsidRPr="00DF6F45">
        <w:lastRenderedPageBreak/>
        <w:t>Among initial transmission and retransmissions for a data having fixed DMRS position relative to the start of the data</w:t>
      </w:r>
    </w:p>
    <w:p w14:paraId="3CB96D3A" w14:textId="77777777" w:rsidR="009E70C0" w:rsidRPr="00DF6F45" w:rsidRDefault="009E70C0" w:rsidP="009E70C0">
      <w:pPr>
        <w:numPr>
          <w:ilvl w:val="2"/>
          <w:numId w:val="44"/>
        </w:numPr>
        <w:spacing w:after="0"/>
      </w:pPr>
      <w:r w:rsidRPr="00DF6F45">
        <w:t>FFS: other cases</w:t>
      </w:r>
    </w:p>
    <w:p w14:paraId="30A030E0" w14:textId="77777777" w:rsidR="009E70C0" w:rsidRPr="00DF6F45" w:rsidRDefault="009E70C0" w:rsidP="009E70C0">
      <w:pPr>
        <w:numPr>
          <w:ilvl w:val="1"/>
          <w:numId w:val="44"/>
        </w:numPr>
        <w:spacing w:after="0"/>
      </w:pPr>
      <w:r w:rsidRPr="00DF6F45">
        <w:t>For uplink at least scheduled by a UL grant, the transmission durations for a given TB may not be the same in some cases.</w:t>
      </w:r>
    </w:p>
    <w:p w14:paraId="667CAC6D" w14:textId="77777777" w:rsidR="009E70C0" w:rsidRPr="00DF6F45" w:rsidRDefault="009E70C0">
      <w:pPr>
        <w:jc w:val="both"/>
        <w:rPr>
          <w:lang w:val="en-US"/>
        </w:rPr>
      </w:pPr>
    </w:p>
    <w:p w14:paraId="4ADBFCBA" w14:textId="656D83EE" w:rsidR="009E70C0" w:rsidRPr="00DF6F45" w:rsidRDefault="009E70C0">
      <w:pPr>
        <w:jc w:val="both"/>
        <w:rPr>
          <w:lang w:val="en-US"/>
        </w:rPr>
      </w:pPr>
      <w:r w:rsidRPr="00DF6F45">
        <w:rPr>
          <w:lang w:val="en-US"/>
        </w:rPr>
        <w:t xml:space="preserve">Considering this, retransmission across BWPs with different numerologies is also not allowed. Since the transmission duration of a TB may or may not be same across retransmissions, this may be possible to support via BWP adaption i.e., for the first transmission a UE may be configured with smaller BWP while for </w:t>
      </w:r>
      <w:r w:rsidR="008614F8">
        <w:rPr>
          <w:lang w:val="en-US"/>
        </w:rPr>
        <w:t>retransmission</w:t>
      </w:r>
      <w:r w:rsidR="008614F8" w:rsidRPr="00DF6F45">
        <w:rPr>
          <w:lang w:val="en-US"/>
        </w:rPr>
        <w:t xml:space="preserve"> </w:t>
      </w:r>
      <w:r w:rsidRPr="00DF6F45">
        <w:rPr>
          <w:lang w:val="en-US"/>
        </w:rPr>
        <w:t>the UE may be configured with a wider BWP.</w:t>
      </w:r>
      <w:r w:rsidR="001D0CD3" w:rsidRPr="00DF6F45">
        <w:rPr>
          <w:lang w:val="en-US"/>
        </w:rPr>
        <w:t xml:space="preserve"> Hence, this confirms that the </w:t>
      </w:r>
      <w:r w:rsidR="008614F8">
        <w:rPr>
          <w:lang w:val="en-US"/>
        </w:rPr>
        <w:t>retransmission</w:t>
      </w:r>
      <w:r w:rsidR="008614F8" w:rsidRPr="00DF6F45">
        <w:rPr>
          <w:lang w:val="en-US"/>
        </w:rPr>
        <w:t xml:space="preserve"> </w:t>
      </w:r>
      <w:r w:rsidR="001D0CD3" w:rsidRPr="00DF6F45">
        <w:rPr>
          <w:lang w:val="en-US"/>
        </w:rPr>
        <w:t>across BWP with same numerology is still allowed.</w:t>
      </w:r>
    </w:p>
    <w:p w14:paraId="04C76AD1" w14:textId="05AC9385" w:rsidR="006003A5" w:rsidRPr="00DF6F45" w:rsidRDefault="001D0CD3">
      <w:pPr>
        <w:jc w:val="both"/>
        <w:rPr>
          <w:b/>
          <w:i/>
          <w:lang w:val="en-US"/>
        </w:rPr>
      </w:pPr>
      <w:r w:rsidRPr="00DF6F45">
        <w:rPr>
          <w:b/>
          <w:i/>
          <w:lang w:val="en-US"/>
        </w:rPr>
        <w:t>Observation</w:t>
      </w:r>
      <w:r w:rsidR="002A2071">
        <w:rPr>
          <w:b/>
          <w:i/>
          <w:lang w:val="en-US"/>
        </w:rPr>
        <w:t xml:space="preserve"> 3</w:t>
      </w:r>
      <w:r w:rsidRPr="00DF6F45">
        <w:rPr>
          <w:b/>
          <w:i/>
          <w:lang w:val="en-US"/>
        </w:rPr>
        <w:t xml:space="preserve">: Retransmission across BWPs is allowed only </w:t>
      </w:r>
      <w:r w:rsidR="00A63008" w:rsidRPr="00DF6F45">
        <w:rPr>
          <w:b/>
          <w:i/>
          <w:lang w:val="en-US"/>
        </w:rPr>
        <w:t>if the BWPs are configured with the same numerology.</w:t>
      </w:r>
    </w:p>
    <w:p w14:paraId="7ACBBC87" w14:textId="0D90AD15" w:rsidR="00C60D7C" w:rsidRPr="00DF6F45" w:rsidRDefault="00A05E4F">
      <w:pPr>
        <w:jc w:val="both"/>
        <w:rPr>
          <w:b/>
          <w:sz w:val="24"/>
          <w:u w:val="single"/>
          <w:lang w:val="en-US" w:eastAsia="ko-KR"/>
        </w:rPr>
      </w:pPr>
      <w:r w:rsidRPr="00DF6F45">
        <w:rPr>
          <w:b/>
          <w:sz w:val="24"/>
          <w:u w:val="single"/>
          <w:lang w:val="en-US" w:eastAsia="ko-KR"/>
        </w:rPr>
        <w:t>C</w:t>
      </w:r>
      <w:r w:rsidR="00C60D7C" w:rsidRPr="00DF6F45">
        <w:rPr>
          <w:b/>
          <w:sz w:val="24"/>
          <w:u w:val="single"/>
          <w:lang w:val="en-US" w:eastAsia="ko-KR"/>
        </w:rPr>
        <w:t>SI-RS Mapping</w:t>
      </w:r>
    </w:p>
    <w:p w14:paraId="63F19F3E" w14:textId="0D45EA53" w:rsidR="00C60D7C" w:rsidRPr="00DF6F45" w:rsidRDefault="00C60D7C">
      <w:pPr>
        <w:spacing w:line="288" w:lineRule="auto"/>
        <w:jc w:val="both"/>
        <w:rPr>
          <w:lang w:val="en-US" w:eastAsia="ko-KR"/>
        </w:rPr>
      </w:pPr>
      <w:r w:rsidRPr="00DF6F45">
        <w:rPr>
          <w:lang w:val="en-US" w:eastAsia="ko-KR"/>
        </w:rPr>
        <w:t xml:space="preserve">CSI-RS mapping should be specified both on wideband and narrow band manner. A CSI-RS transmission can be over the full DL BW (except for potential reserved resources) and a UE can measure CSI over a </w:t>
      </w:r>
      <w:r w:rsidR="008614F8">
        <w:rPr>
          <w:lang w:val="en-US" w:eastAsia="ko-KR"/>
        </w:rPr>
        <w:t>BWP</w:t>
      </w:r>
      <w:r w:rsidRPr="00DF6F45">
        <w:rPr>
          <w:lang w:val="en-US" w:eastAsia="ko-KR"/>
        </w:rPr>
        <w:t xml:space="preserve"> when the UE retunes to the </w:t>
      </w:r>
      <w:r w:rsidR="008614F8">
        <w:rPr>
          <w:lang w:val="en-US" w:eastAsia="ko-KR"/>
        </w:rPr>
        <w:t>BWP</w:t>
      </w:r>
      <w:r w:rsidRPr="00DF6F45">
        <w:rPr>
          <w:lang w:val="en-US" w:eastAsia="ko-KR"/>
        </w:rPr>
        <w:t xml:space="preserve"> (both are supported in NR). A CSI-RS transmission can also be only over the </w:t>
      </w:r>
      <w:r w:rsidR="0036732B">
        <w:rPr>
          <w:lang w:val="en-US" w:eastAsia="ko-KR"/>
        </w:rPr>
        <w:t>BWP</w:t>
      </w:r>
      <w:r w:rsidRPr="00DF6F45">
        <w:rPr>
          <w:lang w:val="en-US" w:eastAsia="ko-KR"/>
        </w:rPr>
        <w:t xml:space="preserve"> where the UE is retuning. From the UE perspective, if CSI-RS measurements are </w:t>
      </w:r>
      <w:r w:rsidR="0036732B">
        <w:rPr>
          <w:lang w:val="en-US" w:eastAsia="ko-KR"/>
        </w:rPr>
        <w:t>configured</w:t>
      </w:r>
      <w:r w:rsidR="0036732B" w:rsidRPr="00DF6F45">
        <w:rPr>
          <w:lang w:val="en-US" w:eastAsia="ko-KR"/>
        </w:rPr>
        <w:t xml:space="preserve"> </w:t>
      </w:r>
      <w:r w:rsidRPr="00DF6F45">
        <w:rPr>
          <w:lang w:val="en-US" w:eastAsia="ko-KR"/>
        </w:rPr>
        <w:t xml:space="preserve">to occur only within the </w:t>
      </w:r>
      <w:r w:rsidR="0036732B">
        <w:rPr>
          <w:lang w:val="en-US" w:eastAsia="ko-KR"/>
        </w:rPr>
        <w:t>BWP</w:t>
      </w:r>
      <w:r w:rsidRPr="00DF6F45">
        <w:rPr>
          <w:lang w:val="en-US" w:eastAsia="ko-KR"/>
        </w:rPr>
        <w:t xml:space="preserve">, the two approaches are equivalent and can be handled by implementation. </w:t>
      </w:r>
      <w:r w:rsidR="008E14C5" w:rsidRPr="00DF6F45">
        <w:rPr>
          <w:lang w:val="en-US" w:eastAsia="ko-KR"/>
        </w:rPr>
        <w:t>A</w:t>
      </w:r>
      <w:r w:rsidR="005B0CCB" w:rsidRPr="00DF6F45">
        <w:rPr>
          <w:lang w:val="en-US" w:eastAsia="ko-KR"/>
        </w:rPr>
        <w:t xml:space="preserve"> narrow band UE </w:t>
      </w:r>
      <w:r w:rsidR="0041324A" w:rsidRPr="00DF6F45">
        <w:rPr>
          <w:lang w:val="en-US" w:eastAsia="ko-KR"/>
        </w:rPr>
        <w:t>may</w:t>
      </w:r>
      <w:r w:rsidR="005B0CCB" w:rsidRPr="00DF6F45">
        <w:rPr>
          <w:lang w:val="en-US" w:eastAsia="ko-KR"/>
        </w:rPr>
        <w:t xml:space="preserve"> secure only sub-band measurements of </w:t>
      </w:r>
      <w:r w:rsidR="00F637A3" w:rsidRPr="00DF6F45">
        <w:rPr>
          <w:lang w:val="en-US" w:eastAsia="ko-KR"/>
        </w:rPr>
        <w:t>a</w:t>
      </w:r>
      <w:r w:rsidR="005B0CCB" w:rsidRPr="00DF6F45">
        <w:rPr>
          <w:lang w:val="en-US" w:eastAsia="ko-KR"/>
        </w:rPr>
        <w:t xml:space="preserve"> wideband RS</w:t>
      </w:r>
      <w:r w:rsidR="00F637A3" w:rsidRPr="00DF6F45">
        <w:rPr>
          <w:lang w:val="en-US" w:eastAsia="ko-KR"/>
        </w:rPr>
        <w:t xml:space="preserve"> and a</w:t>
      </w:r>
      <w:r w:rsidR="005B0CCB" w:rsidRPr="00DF6F45">
        <w:rPr>
          <w:lang w:val="en-US" w:eastAsia="ko-KR"/>
        </w:rPr>
        <w:t xml:space="preserve"> CA UE may not make full use of wideband RS depending on the BWP configuration. While the sub-band measurements may be degraded when considering one-shot measurements, the measurement accuracy can be improved by obtaining measurements for a longer period of time.</w:t>
      </w:r>
    </w:p>
    <w:p w14:paraId="24F9AC68" w14:textId="0D15727A" w:rsidR="00980089" w:rsidRPr="00DF6F45" w:rsidRDefault="00980089">
      <w:pPr>
        <w:spacing w:line="288" w:lineRule="auto"/>
        <w:jc w:val="both"/>
        <w:rPr>
          <w:b/>
          <w:i/>
          <w:lang w:val="en-US" w:eastAsia="ko-KR"/>
        </w:rPr>
      </w:pPr>
      <w:r w:rsidRPr="00DF6F45">
        <w:rPr>
          <w:b/>
          <w:i/>
          <w:lang w:val="en-US" w:eastAsia="ko-KR"/>
        </w:rPr>
        <w:t xml:space="preserve">Proposal </w:t>
      </w:r>
      <w:r w:rsidR="002A2071">
        <w:rPr>
          <w:b/>
          <w:i/>
          <w:lang w:val="en-US" w:eastAsia="ko-KR"/>
        </w:rPr>
        <w:t>11</w:t>
      </w:r>
      <w:r w:rsidR="00AC0DF9" w:rsidRPr="00DF6F45">
        <w:rPr>
          <w:b/>
          <w:i/>
          <w:lang w:val="en-US" w:eastAsia="ko-KR"/>
        </w:rPr>
        <w:t xml:space="preserve">: </w:t>
      </w:r>
      <w:r w:rsidRPr="00DF6F45">
        <w:rPr>
          <w:b/>
          <w:i/>
          <w:lang w:val="en-US" w:eastAsia="ko-KR"/>
        </w:rPr>
        <w:t xml:space="preserve">Support both narrowband and wideband CSI-RS mapping. </w:t>
      </w:r>
    </w:p>
    <w:p w14:paraId="13DD7288" w14:textId="5C9273B8" w:rsidR="00B51EE6" w:rsidRPr="00DF6F45" w:rsidRDefault="00B51EE6">
      <w:pPr>
        <w:jc w:val="both"/>
        <w:rPr>
          <w:b/>
          <w:sz w:val="24"/>
          <w:u w:val="single"/>
          <w:lang w:val="en-US" w:eastAsia="ko-KR"/>
        </w:rPr>
      </w:pPr>
      <w:r w:rsidRPr="00DF6F45">
        <w:rPr>
          <w:b/>
          <w:sz w:val="24"/>
          <w:u w:val="single"/>
          <w:lang w:val="en-US" w:eastAsia="ko-KR"/>
        </w:rPr>
        <w:t>PRB Bundling</w:t>
      </w:r>
    </w:p>
    <w:p w14:paraId="796E5493" w14:textId="2F76C5CD" w:rsidR="00B51EE6" w:rsidRPr="00DF6F45" w:rsidRDefault="008213C5">
      <w:pPr>
        <w:spacing w:line="288" w:lineRule="auto"/>
        <w:jc w:val="both"/>
        <w:rPr>
          <w:lang w:val="en-US" w:eastAsia="ko-KR"/>
        </w:rPr>
      </w:pPr>
      <w:r w:rsidRPr="00DF6F45">
        <w:rPr>
          <w:lang w:val="en-US" w:eastAsia="ko-KR"/>
        </w:rPr>
        <w:t xml:space="preserve">As per last meeting agreements, the PRG size may depend on RBG size, or other values based on bandwidth part, and/or scheduled bandwidth and/or UE capability. In LTE, the PRG size was defined based on the RBG sizes as it was more appropriate to define the pre-coding vectors. </w:t>
      </w:r>
      <w:r w:rsidR="008B1126" w:rsidRPr="00DF6F45">
        <w:rPr>
          <w:lang w:val="en-US" w:eastAsia="ko-KR"/>
        </w:rPr>
        <w:t>A similar design may be followed in NR. Since the RBG size may depend on the configured BWP sizes (as indicated earlier</w:t>
      </w:r>
      <w:r w:rsidR="00756127" w:rsidRPr="00DF6F45">
        <w:rPr>
          <w:lang w:val="en-US" w:eastAsia="ko-KR"/>
        </w:rPr>
        <w:t xml:space="preserve"> and may be indicated via DCI</w:t>
      </w:r>
      <w:r w:rsidR="008B1126" w:rsidRPr="00DF6F45">
        <w:rPr>
          <w:lang w:val="en-US" w:eastAsia="ko-KR"/>
        </w:rPr>
        <w:t xml:space="preserve">), the PRG size may directly or indirectly depend on the configured BWP size. </w:t>
      </w:r>
      <w:r w:rsidR="00756127" w:rsidRPr="00DF6F45">
        <w:rPr>
          <w:lang w:val="en-US" w:eastAsia="ko-KR"/>
        </w:rPr>
        <w:t xml:space="preserve">Of course it </w:t>
      </w:r>
      <w:r w:rsidR="008153EE" w:rsidRPr="00DF6F45">
        <w:rPr>
          <w:lang w:val="en-US" w:eastAsia="ko-KR"/>
        </w:rPr>
        <w:t xml:space="preserve">should </w:t>
      </w:r>
      <w:r w:rsidR="00756127" w:rsidRPr="00DF6F45">
        <w:rPr>
          <w:lang w:val="en-US" w:eastAsia="ko-KR"/>
        </w:rPr>
        <w:t xml:space="preserve">be taken care to consider the case of multiple BWP configuration. </w:t>
      </w:r>
      <w:r w:rsidR="00C74384" w:rsidRPr="00DF6F45">
        <w:rPr>
          <w:lang w:val="en-US" w:eastAsia="ko-KR"/>
        </w:rPr>
        <w:t xml:space="preserve">Furthermore, when a WB and NB UE are multiplexed for MU-MIMO purposes, the PRG sizes may be defined commonly for both these UEs and be indicated via UE specific signaling. </w:t>
      </w:r>
      <w:r w:rsidR="00EF6424" w:rsidRPr="00DF6F45">
        <w:rPr>
          <w:lang w:val="en-US" w:eastAsia="ko-KR"/>
        </w:rPr>
        <w:t xml:space="preserve">For instance, in LTE when the RBG size was 3, the PRG size 3 was chosen over 2 to have scheduling flexibility. Similarly, the PRG sizes of both WB and NB UE </w:t>
      </w:r>
      <w:r w:rsidR="00BA64A9" w:rsidRPr="00DF6F45">
        <w:rPr>
          <w:lang w:val="en-US" w:eastAsia="ko-KR"/>
        </w:rPr>
        <w:t xml:space="preserve">should </w:t>
      </w:r>
      <w:r w:rsidR="00EF6424" w:rsidRPr="00DF6F45">
        <w:rPr>
          <w:lang w:val="en-US" w:eastAsia="ko-KR"/>
        </w:rPr>
        <w:t xml:space="preserve">be taken into account and the appropriate PRG size may be chosen and indicated. </w:t>
      </w:r>
    </w:p>
    <w:p w14:paraId="322D72CE" w14:textId="0AD57C34" w:rsidR="00433050" w:rsidRDefault="00433050">
      <w:pPr>
        <w:spacing w:line="288" w:lineRule="auto"/>
        <w:jc w:val="both"/>
        <w:rPr>
          <w:b/>
          <w:i/>
          <w:lang w:val="en-US" w:eastAsia="ko-KR"/>
        </w:rPr>
      </w:pPr>
      <w:r w:rsidRPr="00DF6F45">
        <w:rPr>
          <w:b/>
          <w:i/>
          <w:lang w:val="en-US" w:eastAsia="ko-KR"/>
        </w:rPr>
        <w:t xml:space="preserve">Proposal </w:t>
      </w:r>
      <w:r w:rsidR="002A2071">
        <w:rPr>
          <w:b/>
          <w:i/>
          <w:lang w:val="en-US" w:eastAsia="ko-KR"/>
        </w:rPr>
        <w:t>12</w:t>
      </w:r>
      <w:r w:rsidR="00AC0DF9" w:rsidRPr="00DF6F45">
        <w:rPr>
          <w:b/>
          <w:i/>
          <w:lang w:val="en-US" w:eastAsia="ko-KR"/>
        </w:rPr>
        <w:t xml:space="preserve">: </w:t>
      </w:r>
      <w:r w:rsidRPr="00DF6F45">
        <w:rPr>
          <w:b/>
          <w:i/>
          <w:lang w:val="en-US" w:eastAsia="ko-KR"/>
        </w:rPr>
        <w:t>PRG and RBG sizes may be chosen based on the WB and NB UE multiplex</w:t>
      </w:r>
      <w:r w:rsidR="00A90079" w:rsidRPr="00DF6F45">
        <w:rPr>
          <w:b/>
          <w:i/>
          <w:lang w:val="en-US" w:eastAsia="ko-KR"/>
        </w:rPr>
        <w:t>ing and indicated to the WB UE if constrained by the NB UE behavior.</w:t>
      </w:r>
    </w:p>
    <w:p w14:paraId="6B3DD15E" w14:textId="1184EF31" w:rsidR="000A0C86" w:rsidRDefault="000A0C86" w:rsidP="000A0C86">
      <w:pPr>
        <w:spacing w:line="288" w:lineRule="auto"/>
        <w:jc w:val="both"/>
        <w:rPr>
          <w:lang w:val="en-US" w:eastAsia="ko-KR"/>
        </w:rPr>
      </w:pPr>
      <w:r>
        <w:rPr>
          <w:rFonts w:hint="eastAsia"/>
          <w:b/>
          <w:sz w:val="24"/>
          <w:u w:val="single"/>
          <w:lang w:val="en-US" w:eastAsia="ko-KR"/>
        </w:rPr>
        <w:t xml:space="preserve">BWP configuration considering RBG </w:t>
      </w:r>
      <w:r w:rsidR="00D2571E">
        <w:rPr>
          <w:b/>
          <w:sz w:val="24"/>
          <w:u w:val="single"/>
          <w:lang w:val="en-US" w:eastAsia="ko-KR"/>
        </w:rPr>
        <w:t xml:space="preserve">grid </w:t>
      </w:r>
      <w:r>
        <w:rPr>
          <w:rFonts w:hint="eastAsia"/>
          <w:b/>
          <w:sz w:val="24"/>
          <w:u w:val="single"/>
          <w:lang w:val="en-US" w:eastAsia="ko-KR"/>
        </w:rPr>
        <w:t>alignment</w:t>
      </w:r>
    </w:p>
    <w:p w14:paraId="3D95F2CB" w14:textId="77777777" w:rsidR="000A0C86" w:rsidRDefault="000A0C86" w:rsidP="000A0C86">
      <w:pPr>
        <w:spacing w:line="288" w:lineRule="auto"/>
        <w:jc w:val="both"/>
        <w:rPr>
          <w:lang w:val="en-US" w:eastAsia="ko-KR"/>
        </w:rPr>
      </w:pPr>
      <w:r>
        <w:rPr>
          <w:lang w:val="en-US" w:eastAsia="ko-KR"/>
        </w:rPr>
        <w:t>RBG</w:t>
      </w:r>
      <w:r>
        <w:rPr>
          <w:rFonts w:hint="eastAsia"/>
          <w:lang w:val="en-US" w:eastAsia="ko-KR"/>
        </w:rPr>
        <w:t xml:space="preserve"> misalignment </w:t>
      </w:r>
      <w:r>
        <w:rPr>
          <w:lang w:val="en-US" w:eastAsia="ko-KR"/>
        </w:rPr>
        <w:t xml:space="preserve">across users </w:t>
      </w:r>
      <w:r>
        <w:rPr>
          <w:rFonts w:hint="eastAsia"/>
          <w:lang w:val="en-US" w:eastAsia="ko-KR"/>
        </w:rPr>
        <w:t xml:space="preserve">can cause that frequency resource may not be fully utilized from gNB </w:t>
      </w:r>
      <w:r>
        <w:rPr>
          <w:lang w:val="en-US" w:eastAsia="ko-KR"/>
        </w:rPr>
        <w:t>perspective</w:t>
      </w:r>
      <w:r>
        <w:rPr>
          <w:rFonts w:hint="eastAsia"/>
          <w:lang w:val="en-US" w:eastAsia="ko-KR"/>
        </w:rPr>
        <w:t xml:space="preserve">. There are two scenarios where RBG grid is not aligned. In case of that RBG size is same but RBG grid is </w:t>
      </w:r>
      <w:r>
        <w:rPr>
          <w:lang w:val="en-US" w:eastAsia="ko-KR"/>
        </w:rPr>
        <w:t>different</w:t>
      </w:r>
      <w:r>
        <w:rPr>
          <w:rFonts w:hint="eastAsia"/>
          <w:lang w:val="en-US" w:eastAsia="ko-KR"/>
        </w:rPr>
        <w:t xml:space="preserve"> as shown in Figure 4, if one RBG is allocated to UE 1, then two RBGs for UE 2 cannot be used for scheduling unless RBG grid is aligned. The larger RBG size is used, the more PRBs are wasted compared to the case with RBG grid alignment. Likewise, in case of that both RBG size and grid are </w:t>
      </w:r>
      <w:r>
        <w:rPr>
          <w:lang w:val="en-US" w:eastAsia="ko-KR"/>
        </w:rPr>
        <w:t>different</w:t>
      </w:r>
      <w:r>
        <w:rPr>
          <w:rFonts w:hint="eastAsia"/>
          <w:lang w:val="en-US" w:eastAsia="ko-KR"/>
        </w:rPr>
        <w:t xml:space="preserve"> as shown in Figure 5, if 1 RBG-8 is allocated for UE 1, then 3 RBG-4s cannot be used for UE 2. If the candidates of RBG sizes are decided as 2 to the power of N such as 2, 4, 8, and 16, the nested-RBG structure can be possible so that better scheduling degree of freedom may be provided to gNB. Furthermore, considering that PRG size may depend on RBG size in NR, RBG grid alignment with the nested-RBG structure is beneficial to support MU-MIMO between different UEs. </w:t>
      </w:r>
    </w:p>
    <w:p w14:paraId="3C902219" w14:textId="77777777" w:rsidR="000A0C86" w:rsidRDefault="000A0C86" w:rsidP="000A0C86">
      <w:pPr>
        <w:spacing w:line="288" w:lineRule="auto"/>
        <w:jc w:val="center"/>
        <w:rPr>
          <w:lang w:eastAsia="ko-KR"/>
        </w:rPr>
      </w:pPr>
      <w:r>
        <w:object w:dxaOrig="6825" w:dyaOrig="3090" w14:anchorId="71809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54.75pt" o:ole="">
            <v:imagedata r:id="rId12" o:title=""/>
          </v:shape>
          <o:OLEObject Type="Embed" ProgID="Visio.Drawing.15" ShapeID="_x0000_i1025" DrawAspect="Content" ObjectID="_1563953715" r:id="rId13"/>
        </w:object>
      </w:r>
    </w:p>
    <w:p w14:paraId="0078F672" w14:textId="77777777" w:rsidR="000A0C86" w:rsidRPr="00ED59BE" w:rsidRDefault="000A0C86" w:rsidP="000A0C86">
      <w:pPr>
        <w:pStyle w:val="Caption"/>
        <w:jc w:val="center"/>
        <w:rPr>
          <w:rFonts w:ascii="Arial" w:eastAsia="Times New Roman" w:hAnsi="Arial"/>
        </w:rPr>
      </w:pPr>
      <w:r w:rsidRPr="00ED59BE">
        <w:rPr>
          <w:rFonts w:ascii="Arial" w:eastAsia="Times New Roman" w:hAnsi="Arial"/>
          <w:bCs w:val="0"/>
        </w:rPr>
        <w:t>Figure 4. RBG size is same but RBG grid is different</w:t>
      </w:r>
    </w:p>
    <w:p w14:paraId="3B933354" w14:textId="77777777" w:rsidR="000A0C86" w:rsidRDefault="000A0C86" w:rsidP="000A0C86">
      <w:pPr>
        <w:spacing w:line="288" w:lineRule="auto"/>
        <w:jc w:val="center"/>
        <w:rPr>
          <w:lang w:eastAsia="ko-KR"/>
        </w:rPr>
      </w:pPr>
      <w:r>
        <w:object w:dxaOrig="6570" w:dyaOrig="3301" w14:anchorId="6CB8072C">
          <v:shape id="_x0000_i1026" type="#_x0000_t75" style="width:328.3pt;height:164.95pt" o:ole="">
            <v:imagedata r:id="rId14" o:title=""/>
          </v:shape>
          <o:OLEObject Type="Embed" ProgID="Visio.Drawing.15" ShapeID="_x0000_i1026" DrawAspect="Content" ObjectID="_1563953716" r:id="rId15"/>
        </w:object>
      </w:r>
    </w:p>
    <w:p w14:paraId="1924F509" w14:textId="77777777" w:rsidR="000A0C86" w:rsidRDefault="000A0C86" w:rsidP="000A0C86">
      <w:pPr>
        <w:pStyle w:val="Caption"/>
        <w:jc w:val="center"/>
        <w:rPr>
          <w:rFonts w:ascii="Arial" w:eastAsiaTheme="minorEastAsia" w:hAnsi="Arial"/>
          <w:lang w:eastAsia="ko-KR"/>
        </w:rPr>
      </w:pPr>
      <w:r w:rsidRPr="00ED59BE">
        <w:rPr>
          <w:rFonts w:ascii="Arial" w:eastAsia="Times New Roman" w:hAnsi="Arial"/>
          <w:bCs w:val="0"/>
        </w:rPr>
        <w:t>Figure 5. Both RBG size and grid are different</w:t>
      </w:r>
    </w:p>
    <w:p w14:paraId="39D91F34" w14:textId="77777777" w:rsidR="000A0C86" w:rsidRDefault="000A0C86" w:rsidP="000A0C86">
      <w:pPr>
        <w:jc w:val="center"/>
        <w:rPr>
          <w:lang w:eastAsia="ko-KR"/>
        </w:rPr>
      </w:pPr>
      <w:r>
        <w:object w:dxaOrig="3225" w:dyaOrig="2535" w14:anchorId="6AF80A9C">
          <v:shape id="_x0000_i1027" type="#_x0000_t75" style="width:161.2pt;height:126.8pt" o:ole="">
            <v:imagedata r:id="rId16" o:title=""/>
          </v:shape>
          <o:OLEObject Type="Embed" ProgID="Visio.Drawing.15" ShapeID="_x0000_i1027" DrawAspect="Content" ObjectID="_1563953717" r:id="rId17"/>
        </w:object>
      </w:r>
    </w:p>
    <w:p w14:paraId="598EEBED" w14:textId="77777777" w:rsidR="000A0C86" w:rsidRPr="00013D42" w:rsidRDefault="000A0C86" w:rsidP="000A0C86">
      <w:pPr>
        <w:pStyle w:val="Caption"/>
        <w:jc w:val="center"/>
        <w:rPr>
          <w:rFonts w:ascii="Arial" w:eastAsiaTheme="minorEastAsia" w:hAnsi="Arial"/>
          <w:bCs w:val="0"/>
          <w:lang w:eastAsia="ko-KR"/>
        </w:rPr>
      </w:pPr>
      <w:r w:rsidRPr="00F52D7B">
        <w:rPr>
          <w:rFonts w:ascii="Arial" w:eastAsia="Times New Roman" w:hAnsi="Arial"/>
          <w:bCs w:val="0"/>
        </w:rPr>
        <w:t xml:space="preserve">Figure </w:t>
      </w:r>
      <w:r>
        <w:rPr>
          <w:rFonts w:ascii="Arial" w:eastAsiaTheme="minorEastAsia" w:hAnsi="Arial" w:hint="eastAsia"/>
          <w:bCs w:val="0"/>
          <w:lang w:eastAsia="ko-KR"/>
        </w:rPr>
        <w:t>6</w:t>
      </w:r>
      <w:r w:rsidRPr="00F52D7B">
        <w:rPr>
          <w:rFonts w:ascii="Arial" w:eastAsia="Times New Roman" w:hAnsi="Arial"/>
          <w:bCs w:val="0"/>
        </w:rPr>
        <w:t xml:space="preserve">. </w:t>
      </w:r>
      <w:r>
        <w:rPr>
          <w:rFonts w:ascii="Arial" w:eastAsiaTheme="minorEastAsia" w:hAnsi="Arial" w:hint="eastAsia"/>
          <w:bCs w:val="0"/>
          <w:lang w:eastAsia="ko-KR"/>
        </w:rPr>
        <w:t>Nested-RBG structure</w:t>
      </w:r>
    </w:p>
    <w:p w14:paraId="5AFDBB5D" w14:textId="77777777" w:rsidR="000A0C86" w:rsidRPr="00013D42" w:rsidRDefault="000A0C86" w:rsidP="000A0C86">
      <w:pPr>
        <w:rPr>
          <w:lang w:eastAsia="ko-KR"/>
        </w:rPr>
      </w:pPr>
    </w:p>
    <w:p w14:paraId="5309B793" w14:textId="3B0A8E1D" w:rsidR="000A0C86" w:rsidRDefault="000A0C86" w:rsidP="000A0C86">
      <w:pPr>
        <w:spacing w:line="288" w:lineRule="auto"/>
        <w:jc w:val="both"/>
        <w:rPr>
          <w:b/>
          <w:i/>
          <w:lang w:val="en-US" w:eastAsia="ko-KR"/>
        </w:rPr>
      </w:pPr>
      <w:r w:rsidRPr="00DD2AE7">
        <w:rPr>
          <w:b/>
          <w:i/>
          <w:lang w:val="en-US" w:eastAsia="ko-KR"/>
        </w:rPr>
        <w:t xml:space="preserve">Proposal </w:t>
      </w:r>
      <w:r w:rsidR="002A2071">
        <w:rPr>
          <w:rFonts w:hint="eastAsia"/>
          <w:b/>
          <w:i/>
          <w:lang w:val="en-US" w:eastAsia="ko-KR"/>
        </w:rPr>
        <w:t>1</w:t>
      </w:r>
      <w:r w:rsidR="002A2071">
        <w:rPr>
          <w:b/>
          <w:i/>
          <w:lang w:val="en-US" w:eastAsia="ko-KR"/>
        </w:rPr>
        <w:t>3</w:t>
      </w:r>
      <w:r w:rsidRPr="00DD2AE7">
        <w:rPr>
          <w:b/>
          <w:i/>
          <w:lang w:val="en-US" w:eastAsia="ko-KR"/>
        </w:rPr>
        <w:t xml:space="preserve">: </w:t>
      </w:r>
      <w:r>
        <w:rPr>
          <w:rFonts w:hint="eastAsia"/>
          <w:b/>
          <w:i/>
          <w:lang w:val="en-US" w:eastAsia="ko-KR"/>
        </w:rPr>
        <w:t xml:space="preserve">If RBG size candidates are decided as 2 to the power of N such as 2, 4, 8, and 16, the nested-RBG </w:t>
      </w:r>
      <w:r>
        <w:rPr>
          <w:b/>
          <w:i/>
          <w:lang w:val="en-US" w:eastAsia="ko-KR"/>
        </w:rPr>
        <w:t>structure</w:t>
      </w:r>
      <w:r>
        <w:rPr>
          <w:rFonts w:hint="eastAsia"/>
          <w:b/>
          <w:i/>
          <w:lang w:val="en-US" w:eastAsia="ko-KR"/>
        </w:rPr>
        <w:t xml:space="preserve"> should be supported in NR to provide better degree-of-freedom for scheduling. In addition, NR supports RBG grid </w:t>
      </w:r>
      <w:r>
        <w:rPr>
          <w:b/>
          <w:i/>
          <w:lang w:val="en-US" w:eastAsia="ko-KR"/>
        </w:rPr>
        <w:t>alignment</w:t>
      </w:r>
      <w:r>
        <w:rPr>
          <w:rFonts w:hint="eastAsia"/>
          <w:b/>
          <w:i/>
          <w:lang w:val="en-US" w:eastAsia="ko-KR"/>
        </w:rPr>
        <w:t xml:space="preserve"> between different UEs. </w:t>
      </w:r>
    </w:p>
    <w:p w14:paraId="36D4659C" w14:textId="77777777" w:rsidR="000A0C86" w:rsidRDefault="000A0C86" w:rsidP="000A0C86">
      <w:pPr>
        <w:spacing w:line="288" w:lineRule="auto"/>
        <w:rPr>
          <w:lang w:val="en-US" w:eastAsia="ko-KR"/>
        </w:rPr>
      </w:pPr>
      <w:r>
        <w:rPr>
          <w:rFonts w:hint="eastAsia"/>
          <w:lang w:val="en-US" w:eastAsia="ko-KR"/>
        </w:rPr>
        <w:t>To support the RBG grid alignment, following two options can be considered.</w:t>
      </w:r>
    </w:p>
    <w:p w14:paraId="0D4AD808" w14:textId="77777777" w:rsidR="000A0C86" w:rsidRPr="00F52D7B" w:rsidRDefault="000A0C86" w:rsidP="000A0C86">
      <w:pPr>
        <w:pStyle w:val="ListParagraph"/>
        <w:numPr>
          <w:ilvl w:val="0"/>
          <w:numId w:val="46"/>
        </w:numPr>
        <w:spacing w:line="288" w:lineRule="auto"/>
        <w:ind w:leftChars="0"/>
        <w:rPr>
          <w:lang w:val="en-US" w:eastAsia="ko-KR"/>
        </w:rPr>
      </w:pPr>
      <w:r w:rsidRPr="00F52D7B">
        <w:rPr>
          <w:rFonts w:hint="eastAsia"/>
          <w:lang w:val="en-US" w:eastAsia="ko-KR"/>
        </w:rPr>
        <w:t xml:space="preserve">Option-1: </w:t>
      </w:r>
      <w:r>
        <w:rPr>
          <w:lang w:val="en-US" w:eastAsia="ko-KR"/>
        </w:rPr>
        <w:t>RBG grid is decided based on wideband CC and then BWP is configured irrespective of this grid</w:t>
      </w:r>
      <w:r w:rsidRPr="00F52D7B">
        <w:rPr>
          <w:rFonts w:hint="eastAsia"/>
          <w:lang w:val="en-US" w:eastAsia="ko-KR"/>
        </w:rPr>
        <w:t>.</w:t>
      </w:r>
    </w:p>
    <w:p w14:paraId="0B4E73E4" w14:textId="77777777" w:rsidR="000A0C86" w:rsidRDefault="000A0C86" w:rsidP="000A0C86">
      <w:pPr>
        <w:pStyle w:val="ListParagraph"/>
        <w:numPr>
          <w:ilvl w:val="0"/>
          <w:numId w:val="46"/>
        </w:numPr>
        <w:spacing w:line="288" w:lineRule="auto"/>
        <w:ind w:leftChars="0"/>
        <w:rPr>
          <w:lang w:val="en-US" w:eastAsia="ko-KR"/>
        </w:rPr>
      </w:pPr>
      <w:r w:rsidRPr="00F52D7B">
        <w:rPr>
          <w:rFonts w:hint="eastAsia"/>
          <w:lang w:val="en-US" w:eastAsia="ko-KR"/>
        </w:rPr>
        <w:t xml:space="preserve">Option-2: </w:t>
      </w:r>
      <w:r>
        <w:t xml:space="preserve">RBG grid is generated based on the activated BWP irrespective of the location of BWP within the WB CC. But BWP configuration is performed in terms of max RBG size. </w:t>
      </w:r>
    </w:p>
    <w:p w14:paraId="5BC0A228" w14:textId="77777777" w:rsidR="000A0C86" w:rsidRDefault="000A0C86" w:rsidP="000A0C86">
      <w:pPr>
        <w:spacing w:line="288" w:lineRule="auto"/>
        <w:jc w:val="both"/>
        <w:rPr>
          <w:lang w:val="en-US" w:eastAsia="ko-KR"/>
        </w:rPr>
      </w:pPr>
      <w:r>
        <w:rPr>
          <w:rFonts w:hint="eastAsia"/>
          <w:lang w:val="en-US" w:eastAsia="ko-KR"/>
        </w:rPr>
        <w:lastRenderedPageBreak/>
        <w:t xml:space="preserve">Figure 7 is provided to show both options. Option-1 have flexibility to configure BWP since any size and location of the BWP is </w:t>
      </w:r>
      <w:r>
        <w:rPr>
          <w:lang w:val="en-US" w:eastAsia="ko-KR"/>
        </w:rPr>
        <w:t>possible</w:t>
      </w:r>
      <w:r>
        <w:rPr>
          <w:rFonts w:hint="eastAsia"/>
          <w:lang w:val="en-US" w:eastAsia="ko-KR"/>
        </w:rPr>
        <w:t xml:space="preserve"> while offset</w:t>
      </w:r>
      <w:r w:rsidRPr="006353D6">
        <w:rPr>
          <w:rFonts w:hint="eastAsia"/>
          <w:lang w:val="en-US" w:eastAsia="ko-KR"/>
        </w:rPr>
        <w:t xml:space="preserve"> </w:t>
      </w:r>
      <w:r>
        <w:rPr>
          <w:rFonts w:hint="eastAsia"/>
          <w:lang w:val="en-US" w:eastAsia="ko-KR"/>
        </w:rPr>
        <w:t xml:space="preserve">to indicate start location of the max RBG size may be informed to UE implicitly or </w:t>
      </w:r>
      <w:r>
        <w:rPr>
          <w:lang w:val="en-US" w:eastAsia="ko-KR"/>
        </w:rPr>
        <w:t>explicitly</w:t>
      </w:r>
      <w:r>
        <w:rPr>
          <w:rFonts w:hint="eastAsia"/>
          <w:lang w:val="en-US" w:eastAsia="ko-KR"/>
        </w:rPr>
        <w:t xml:space="preserve">. On the contrary, Option-2 restricts BWP configuration while it is beneficial that the nested-RBG structure is always fit into the BWP. In addition, due to coarse granularity, signaling overhead can be reduced to configure BWP. </w:t>
      </w:r>
    </w:p>
    <w:p w14:paraId="78E4A99F" w14:textId="77777777" w:rsidR="000A0C86" w:rsidRDefault="000A0C86" w:rsidP="000A0C86">
      <w:pPr>
        <w:pStyle w:val="Caption"/>
        <w:tabs>
          <w:tab w:val="left" w:pos="716"/>
          <w:tab w:val="center" w:pos="4819"/>
        </w:tabs>
        <w:jc w:val="center"/>
      </w:pPr>
      <w:r w:rsidRPr="000C41F6">
        <w:rPr>
          <w:noProof/>
          <w:lang w:val="en-US"/>
        </w:rPr>
        <w:drawing>
          <wp:inline distT="0" distB="0" distL="0" distR="0" wp14:anchorId="43741EFE" wp14:editId="58D5D582">
            <wp:extent cx="4426100" cy="1763502"/>
            <wp:effectExtent l="0" t="0" r="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28688" cy="1764533"/>
                    </a:xfrm>
                    <a:prstGeom prst="rect">
                      <a:avLst/>
                    </a:prstGeom>
                    <a:noFill/>
                    <a:ln>
                      <a:noFill/>
                    </a:ln>
                  </pic:spPr>
                </pic:pic>
              </a:graphicData>
            </a:graphic>
          </wp:inline>
        </w:drawing>
      </w:r>
    </w:p>
    <w:p w14:paraId="774C415A" w14:textId="77777777" w:rsidR="000A0C86" w:rsidRPr="000C41F6" w:rsidRDefault="000A0C86" w:rsidP="000A0C86">
      <w:pPr>
        <w:pStyle w:val="Caption"/>
        <w:tabs>
          <w:tab w:val="left" w:pos="716"/>
          <w:tab w:val="center" w:pos="4819"/>
        </w:tabs>
        <w:jc w:val="center"/>
      </w:pPr>
      <w:r w:rsidRPr="000C41F6">
        <w:t xml:space="preserve">Figure </w:t>
      </w:r>
      <w:r>
        <w:t>7</w:t>
      </w:r>
      <w:r w:rsidRPr="000C41F6">
        <w:t>. Two options to support RBG grid alignment</w:t>
      </w:r>
    </w:p>
    <w:p w14:paraId="157A4FE2" w14:textId="1EFAC35B" w:rsidR="000A0C86" w:rsidRDefault="000A0C86" w:rsidP="000A0C86">
      <w:pPr>
        <w:spacing w:line="288" w:lineRule="auto"/>
        <w:rPr>
          <w:b/>
          <w:i/>
          <w:lang w:val="en-US" w:eastAsia="ko-KR"/>
        </w:rPr>
      </w:pPr>
      <w:r w:rsidRPr="00DD2AE7">
        <w:rPr>
          <w:b/>
          <w:i/>
          <w:lang w:val="en-US" w:eastAsia="ko-KR"/>
        </w:rPr>
        <w:t xml:space="preserve">Proposal </w:t>
      </w:r>
      <w:r w:rsidR="003B10C8">
        <w:rPr>
          <w:rFonts w:hint="eastAsia"/>
          <w:b/>
          <w:i/>
          <w:lang w:val="en-US" w:eastAsia="ko-KR"/>
        </w:rPr>
        <w:t>1</w:t>
      </w:r>
      <w:r w:rsidR="003B10C8">
        <w:rPr>
          <w:b/>
          <w:i/>
          <w:lang w:val="en-US" w:eastAsia="ko-KR"/>
        </w:rPr>
        <w:t>4</w:t>
      </w:r>
      <w:r w:rsidRPr="00DD2AE7">
        <w:rPr>
          <w:b/>
          <w:i/>
          <w:lang w:val="en-US" w:eastAsia="ko-KR"/>
        </w:rPr>
        <w:t xml:space="preserve">: </w:t>
      </w:r>
      <w:r>
        <w:rPr>
          <w:rFonts w:hint="eastAsia"/>
          <w:b/>
          <w:i/>
          <w:lang w:val="en-US" w:eastAsia="ko-KR"/>
        </w:rPr>
        <w:t>Consider following options to support RBG grid alignment. Other options are not precluded.</w:t>
      </w:r>
    </w:p>
    <w:p w14:paraId="1A878470" w14:textId="77777777" w:rsidR="000A0C86" w:rsidRDefault="000A0C86" w:rsidP="003B77F5">
      <w:pPr>
        <w:pStyle w:val="ListParagraph"/>
        <w:rPr>
          <w:b/>
          <w:i/>
          <w:lang w:val="en-US" w:eastAsia="ko-KR"/>
        </w:rPr>
      </w:pPr>
      <w:r w:rsidRPr="003B77F5">
        <w:rPr>
          <w:rFonts w:hint="eastAsia"/>
          <w:b/>
          <w:i/>
          <w:lang w:val="en-US" w:eastAsia="ko-KR"/>
        </w:rPr>
        <w:t xml:space="preserve">Option-1: </w:t>
      </w:r>
      <w:r w:rsidRPr="003B77F5">
        <w:rPr>
          <w:b/>
          <w:i/>
          <w:lang w:val="en-US" w:eastAsia="ko-KR"/>
        </w:rPr>
        <w:t>RBG grid is decided based on wideband CC and then BWP is configured irrespective of this grid</w:t>
      </w:r>
      <w:r w:rsidRPr="003B77F5">
        <w:rPr>
          <w:rFonts w:hint="eastAsia"/>
          <w:b/>
          <w:i/>
          <w:lang w:val="en-US" w:eastAsia="ko-KR"/>
        </w:rPr>
        <w:t>.</w:t>
      </w:r>
    </w:p>
    <w:p w14:paraId="653DD419" w14:textId="15254537" w:rsidR="00D1443C" w:rsidRPr="0049726B" w:rsidRDefault="000A0C86" w:rsidP="0049726B">
      <w:pPr>
        <w:pStyle w:val="ListParagraph"/>
        <w:rPr>
          <w:lang w:val="en-US" w:eastAsia="ko-KR"/>
        </w:rPr>
      </w:pPr>
      <w:r w:rsidRPr="003B77F5">
        <w:rPr>
          <w:b/>
          <w:i/>
          <w:lang w:val="en-US" w:eastAsia="ko-KR"/>
        </w:rPr>
        <w:t>Option-2: RBG grid is generated based on the activated BWP irrespective of the location of BWP within the WB CC. But BWP configuration is performed in terms of max RBG size.</w:t>
      </w:r>
      <w:r w:rsidR="00D1443C">
        <w:rPr>
          <w:rFonts w:hint="eastAsia"/>
          <w:lang w:val="en-US" w:eastAsia="ko-KR"/>
        </w:rPr>
        <w:t xml:space="preserve"> </w:t>
      </w:r>
    </w:p>
    <w:p w14:paraId="0B0CA08B" w14:textId="2825C969" w:rsidR="00F5180C" w:rsidRPr="00D42139" w:rsidRDefault="0082458B">
      <w:pPr>
        <w:spacing w:line="288" w:lineRule="auto"/>
        <w:jc w:val="both"/>
        <w:rPr>
          <w:b/>
          <w:sz w:val="24"/>
          <w:u w:val="single"/>
          <w:lang w:val="en-US" w:eastAsia="ko-KR"/>
        </w:rPr>
      </w:pPr>
      <w:r w:rsidRPr="00DF6F45">
        <w:rPr>
          <w:b/>
          <w:sz w:val="24"/>
          <w:u w:val="single"/>
          <w:lang w:val="en-US" w:eastAsia="ko-KR"/>
        </w:rPr>
        <w:t>Impact of carrier without SS block</w:t>
      </w:r>
    </w:p>
    <w:p w14:paraId="4CC2054B" w14:textId="15B1E074" w:rsidR="00AC56A9" w:rsidRDefault="00D73620">
      <w:pPr>
        <w:spacing w:line="288" w:lineRule="auto"/>
        <w:jc w:val="both"/>
        <w:rPr>
          <w:lang w:val="en-US" w:eastAsia="ko-KR"/>
        </w:rPr>
      </w:pPr>
      <w:r w:rsidRPr="00D42139">
        <w:rPr>
          <w:lang w:val="en-US" w:eastAsia="ko-KR"/>
        </w:rPr>
        <w:t>In the last RAN1 meeting, it was agreed to support carrier without SS block</w:t>
      </w:r>
      <w:r w:rsidR="00AC56A9">
        <w:rPr>
          <w:lang w:val="en-US" w:eastAsia="ko-KR"/>
        </w:rPr>
        <w:t xml:space="preserve"> </w:t>
      </w:r>
      <w:r w:rsidR="00F741FA">
        <w:rPr>
          <w:lang w:val="en-US" w:eastAsia="ko-KR"/>
        </w:rPr>
        <w:t xml:space="preserve">for some UEs </w:t>
      </w:r>
      <w:r w:rsidR="00AC56A9">
        <w:rPr>
          <w:lang w:val="en-US" w:eastAsia="ko-KR"/>
        </w:rPr>
        <w:t xml:space="preserve">as follows – </w:t>
      </w:r>
    </w:p>
    <w:p w14:paraId="04884B55" w14:textId="77777777" w:rsidR="00F741FA" w:rsidRPr="007D4327" w:rsidRDefault="00F741FA" w:rsidP="00F741FA">
      <w:pPr>
        <w:rPr>
          <w:rFonts w:eastAsia="MS Mincho"/>
          <w:b/>
          <w:u w:val="single"/>
          <w:lang w:eastAsia="ja-JP"/>
        </w:rPr>
      </w:pPr>
      <w:r w:rsidRPr="00BF4794">
        <w:rPr>
          <w:rFonts w:eastAsia="MS Mincho" w:hint="eastAsia"/>
          <w:b/>
          <w:highlight w:val="green"/>
          <w:u w:val="single"/>
          <w:lang w:eastAsia="ja-JP"/>
        </w:rPr>
        <w:t>Agreements:</w:t>
      </w:r>
    </w:p>
    <w:p w14:paraId="7BBEA8C2" w14:textId="77777777" w:rsidR="00F741FA" w:rsidRDefault="00F741FA" w:rsidP="00F741FA">
      <w:pPr>
        <w:numPr>
          <w:ilvl w:val="0"/>
          <w:numId w:val="45"/>
        </w:numPr>
        <w:spacing w:after="0"/>
        <w:rPr>
          <w:rFonts w:eastAsia="MS Mincho"/>
          <w:lang w:eastAsia="ja-JP"/>
        </w:rPr>
      </w:pPr>
      <w:r w:rsidRPr="007D4327">
        <w:rPr>
          <w:rFonts w:eastAsia="MS Mincho" w:hint="eastAsia"/>
          <w:lang w:eastAsia="ja-JP"/>
        </w:rPr>
        <w:t>Usage scenario #</w:t>
      </w:r>
      <w:r>
        <w:rPr>
          <w:rFonts w:eastAsia="MS Mincho"/>
          <w:lang w:eastAsia="ja-JP"/>
        </w:rPr>
        <w:t xml:space="preserve">4 </w:t>
      </w:r>
      <w:r>
        <w:rPr>
          <w:rFonts w:eastAsia="MS Mincho" w:hint="eastAsia"/>
          <w:lang w:eastAsia="ja-JP"/>
        </w:rPr>
        <w:t>in R1-1711795 is supported</w:t>
      </w:r>
      <w:r w:rsidRPr="007D4327">
        <w:rPr>
          <w:rFonts w:eastAsia="MS Mincho"/>
          <w:lang w:eastAsia="ja-JP"/>
        </w:rPr>
        <w:t xml:space="preserve"> in the context of </w:t>
      </w:r>
      <w:r>
        <w:rPr>
          <w:rFonts w:eastAsia="MS Mincho" w:hint="eastAsia"/>
          <w:lang w:eastAsia="ja-JP"/>
        </w:rPr>
        <w:t xml:space="preserve">non-contiguous intra-band </w:t>
      </w:r>
      <w:r w:rsidRPr="007D4327">
        <w:rPr>
          <w:rFonts w:eastAsia="MS Mincho"/>
          <w:lang w:eastAsia="ja-JP"/>
        </w:rPr>
        <w:t>carrier aggregation</w:t>
      </w:r>
    </w:p>
    <w:p w14:paraId="5C5D131C" w14:textId="77777777" w:rsidR="00F741FA" w:rsidRDefault="00F741FA" w:rsidP="00F741FA">
      <w:pPr>
        <w:numPr>
          <w:ilvl w:val="1"/>
          <w:numId w:val="45"/>
        </w:numPr>
        <w:spacing w:after="0"/>
        <w:rPr>
          <w:rFonts w:eastAsia="MS Mincho"/>
          <w:lang w:eastAsia="ja-JP"/>
        </w:rPr>
      </w:pPr>
      <w:r>
        <w:rPr>
          <w:rFonts w:eastAsia="MS Mincho" w:hint="eastAsia"/>
          <w:lang w:eastAsia="ja-JP"/>
        </w:rPr>
        <w:t>C</w:t>
      </w:r>
      <w:r>
        <w:rPr>
          <w:rFonts w:eastAsia="MS Mincho"/>
          <w:lang w:eastAsia="ja-JP"/>
        </w:rPr>
        <w:t>a</w:t>
      </w:r>
      <w:r>
        <w:rPr>
          <w:rFonts w:eastAsia="MS Mincho" w:hint="eastAsia"/>
          <w:lang w:eastAsia="ja-JP"/>
        </w:rPr>
        <w:t>rrier without SS block can be configured for some UEs</w:t>
      </w:r>
    </w:p>
    <w:p w14:paraId="79B30417" w14:textId="77777777" w:rsidR="00F741FA" w:rsidRPr="00563323" w:rsidRDefault="00F741FA" w:rsidP="00F741FA">
      <w:pPr>
        <w:numPr>
          <w:ilvl w:val="0"/>
          <w:numId w:val="45"/>
        </w:numPr>
        <w:spacing w:after="0"/>
        <w:rPr>
          <w:rFonts w:eastAsia="MS Mincho"/>
          <w:lang w:eastAsia="ja-JP"/>
        </w:rPr>
      </w:pPr>
      <w:r w:rsidRPr="00151EFF">
        <w:rPr>
          <w:rFonts w:eastAsia="MS Mincho" w:hint="eastAsia"/>
          <w:lang w:eastAsia="ja-JP"/>
        </w:rPr>
        <w:t>Send LS to RAN2/4 to tell above agreement/observation in R1-1711824</w:t>
      </w:r>
    </w:p>
    <w:p w14:paraId="63B0EE46" w14:textId="77777777" w:rsidR="00F741FA" w:rsidRDefault="00F741FA">
      <w:pPr>
        <w:spacing w:line="288" w:lineRule="auto"/>
        <w:jc w:val="both"/>
        <w:rPr>
          <w:lang w:val="en-US" w:eastAsia="ko-KR"/>
        </w:rPr>
      </w:pPr>
    </w:p>
    <w:p w14:paraId="1278695E" w14:textId="2459142E" w:rsidR="006A546A" w:rsidRPr="00D42139" w:rsidRDefault="00311CFE">
      <w:pPr>
        <w:spacing w:line="288" w:lineRule="auto"/>
        <w:jc w:val="both"/>
        <w:rPr>
          <w:lang w:val="en-US" w:eastAsia="ko-KR"/>
        </w:rPr>
      </w:pPr>
      <w:r w:rsidRPr="00D42139">
        <w:rPr>
          <w:lang w:val="en-US" w:eastAsia="ko-KR"/>
        </w:rPr>
        <w:t>T</w:t>
      </w:r>
      <w:r w:rsidR="008121BA" w:rsidRPr="00D42139">
        <w:rPr>
          <w:lang w:val="en-US" w:eastAsia="ko-KR"/>
        </w:rPr>
        <w:t xml:space="preserve">his carrier is not a standalone carrier and will be activated only via the </w:t>
      </w:r>
      <w:proofErr w:type="spellStart"/>
      <w:r w:rsidR="008121BA" w:rsidRPr="00D42139">
        <w:rPr>
          <w:lang w:val="en-US" w:eastAsia="ko-KR"/>
        </w:rPr>
        <w:t>Pcell</w:t>
      </w:r>
      <w:proofErr w:type="spellEnd"/>
      <w:r w:rsidR="008121BA" w:rsidRPr="00D42139">
        <w:rPr>
          <w:lang w:val="en-US" w:eastAsia="ko-KR"/>
        </w:rPr>
        <w:t xml:space="preserve">. Measurements on this carrier only happen via CSI-RS configurations on this carrier. The timing information for the CSI-RS on this carrier can be taken from the SS blocks of the </w:t>
      </w:r>
      <w:proofErr w:type="spellStart"/>
      <w:r w:rsidR="008121BA" w:rsidRPr="00D42139">
        <w:rPr>
          <w:lang w:val="en-US" w:eastAsia="ko-KR"/>
        </w:rPr>
        <w:t>Pcell</w:t>
      </w:r>
      <w:proofErr w:type="spellEnd"/>
      <w:r w:rsidR="008121BA" w:rsidRPr="00D42139">
        <w:rPr>
          <w:lang w:val="en-US" w:eastAsia="ko-KR"/>
        </w:rPr>
        <w:t xml:space="preserve">. </w:t>
      </w:r>
    </w:p>
    <w:p w14:paraId="26F6263C" w14:textId="77777777" w:rsidR="005469A0" w:rsidRPr="00D42139" w:rsidRDefault="005469A0" w:rsidP="003B77F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2139">
        <w:rPr>
          <w:szCs w:val="20"/>
          <w:lang w:val="en-US"/>
        </w:rPr>
        <w:t>RRC Parameters</w:t>
      </w:r>
    </w:p>
    <w:p w14:paraId="4C25A530" w14:textId="77777777" w:rsidR="005469A0" w:rsidRPr="00D42139" w:rsidRDefault="005469A0">
      <w:pPr>
        <w:jc w:val="both"/>
        <w:rPr>
          <w:lang w:val="en-US" w:eastAsia="ko-KR"/>
        </w:rPr>
      </w:pPr>
      <w:r w:rsidRPr="00D42139">
        <w:rPr>
          <w:lang w:val="en-US" w:eastAsia="ko-KR"/>
        </w:rPr>
        <w:t xml:space="preserve">The following RRC parameters are identified for the wideband operations: </w:t>
      </w:r>
    </w:p>
    <w:p w14:paraId="5B3EF0A9" w14:textId="77777777" w:rsidR="005469A0" w:rsidRPr="00DF6F45" w:rsidRDefault="005469A0">
      <w:pPr>
        <w:numPr>
          <w:ilvl w:val="0"/>
          <w:numId w:val="21"/>
        </w:numPr>
        <w:jc w:val="both"/>
        <w:rPr>
          <w:lang w:val="en-US" w:eastAsia="ko-KR"/>
        </w:rPr>
      </w:pPr>
      <w:r w:rsidRPr="00DF6F45">
        <w:rPr>
          <w:lang w:val="en-US" w:eastAsia="ko-KR"/>
        </w:rPr>
        <w:t>BWP configuration</w:t>
      </w:r>
    </w:p>
    <w:p w14:paraId="18A37583" w14:textId="77777777" w:rsidR="005469A0" w:rsidRPr="00DF6F45" w:rsidRDefault="005469A0">
      <w:pPr>
        <w:numPr>
          <w:ilvl w:val="1"/>
          <w:numId w:val="21"/>
        </w:numPr>
        <w:jc w:val="both"/>
        <w:rPr>
          <w:lang w:val="en-US" w:eastAsia="ko-KR"/>
        </w:rPr>
      </w:pPr>
      <w:r w:rsidRPr="00DF6F45">
        <w:rPr>
          <w:lang w:val="en-US" w:eastAsia="ko-KR"/>
        </w:rPr>
        <w:t xml:space="preserve">Additionally, active BWP among the configured BWP can be indicated via DCI/MAC CE/Time pattern (e.g., DRX). </w:t>
      </w:r>
    </w:p>
    <w:p w14:paraId="51DFEE91" w14:textId="77777777" w:rsidR="005469A0" w:rsidRPr="00DF6F45" w:rsidRDefault="005469A0">
      <w:pPr>
        <w:numPr>
          <w:ilvl w:val="0"/>
          <w:numId w:val="21"/>
        </w:numPr>
        <w:jc w:val="both"/>
        <w:rPr>
          <w:lang w:val="en-US" w:eastAsia="ko-KR"/>
        </w:rPr>
      </w:pPr>
      <w:r w:rsidRPr="00DF6F45">
        <w:rPr>
          <w:lang w:val="en-US" w:eastAsia="ko-KR"/>
        </w:rPr>
        <w:t>Parameters of the SS block(s) [2]:</w:t>
      </w:r>
    </w:p>
    <w:p w14:paraId="16D01190" w14:textId="77777777" w:rsidR="005469A0" w:rsidRPr="00DF6F45" w:rsidRDefault="005469A0">
      <w:pPr>
        <w:numPr>
          <w:ilvl w:val="1"/>
          <w:numId w:val="21"/>
        </w:numPr>
        <w:spacing w:line="288" w:lineRule="auto"/>
        <w:ind w:left="1077" w:hanging="357"/>
        <w:jc w:val="both"/>
        <w:rPr>
          <w:lang w:val="en-US" w:eastAsia="ko-KR"/>
        </w:rPr>
      </w:pPr>
      <w:r w:rsidRPr="00DF6F45">
        <w:rPr>
          <w:lang w:val="en-US" w:eastAsia="ko-KR"/>
        </w:rPr>
        <w:t xml:space="preserve">It can be indicated via RRC signaling in the connected mode. The indication allows a UE to rate match around the SS block locations. A narrow band UE may be informed of the other SS block locations for its RRM measurements by providing retuning gaps. The indication of default SS block (and default BW part) would be needed for idle mode and fallback mode operation. </w:t>
      </w:r>
    </w:p>
    <w:p w14:paraId="473E6F78" w14:textId="77777777" w:rsidR="005469A0" w:rsidRPr="00DF6F45" w:rsidRDefault="005469A0">
      <w:pPr>
        <w:numPr>
          <w:ilvl w:val="0"/>
          <w:numId w:val="21"/>
        </w:numPr>
        <w:jc w:val="both"/>
        <w:rPr>
          <w:lang w:val="en-US" w:eastAsia="ko-KR"/>
        </w:rPr>
      </w:pPr>
      <w:r w:rsidRPr="00DF6F45">
        <w:rPr>
          <w:lang w:val="en-US" w:eastAsia="ko-KR"/>
        </w:rPr>
        <w:t>RS for RRM measurements:</w:t>
      </w:r>
    </w:p>
    <w:p w14:paraId="4147243D" w14:textId="77777777" w:rsidR="005469A0" w:rsidRPr="00DF6F45" w:rsidRDefault="005469A0">
      <w:pPr>
        <w:numPr>
          <w:ilvl w:val="1"/>
          <w:numId w:val="21"/>
        </w:numPr>
        <w:jc w:val="both"/>
        <w:rPr>
          <w:lang w:val="en-US" w:eastAsia="ko-KR"/>
        </w:rPr>
      </w:pPr>
      <w:r w:rsidRPr="00DF6F45">
        <w:rPr>
          <w:lang w:val="en-US" w:eastAsia="ko-KR"/>
        </w:rPr>
        <w:t>NB (or WB) SS blocks (i.e., 1 or multiple SS blocks) along with NB (or WB) CSI-RS combinations</w:t>
      </w:r>
    </w:p>
    <w:p w14:paraId="724DB60D" w14:textId="3ED1079D" w:rsidR="00202451" w:rsidRPr="00DF6F45" w:rsidRDefault="00E678A6" w:rsidP="003B77F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F6F45">
        <w:rPr>
          <w:rFonts w:hint="eastAsia"/>
          <w:szCs w:val="20"/>
          <w:lang w:val="en-US"/>
        </w:rPr>
        <w:lastRenderedPageBreak/>
        <w:t>Summary</w:t>
      </w:r>
    </w:p>
    <w:p w14:paraId="1B7E48E9" w14:textId="2D077853" w:rsidR="00C51967" w:rsidRPr="00DF6F45" w:rsidRDefault="00534C3C">
      <w:pPr>
        <w:spacing w:after="0" w:line="288" w:lineRule="auto"/>
        <w:jc w:val="both"/>
        <w:rPr>
          <w:lang w:eastAsia="ko-KR"/>
        </w:rPr>
      </w:pPr>
      <w:r w:rsidRPr="00DF6F45">
        <w:rPr>
          <w:lang w:eastAsia="ko-KR"/>
        </w:rPr>
        <w:t>Based on above discussion</w:t>
      </w:r>
      <w:r w:rsidR="004C78B6" w:rsidRPr="00DF6F45">
        <w:rPr>
          <w:lang w:eastAsia="ko-KR"/>
        </w:rPr>
        <w:t xml:space="preserve"> for NR wider bandwidth operations</w:t>
      </w:r>
      <w:r w:rsidRPr="00DF6F45">
        <w:rPr>
          <w:lang w:eastAsia="ko-KR"/>
        </w:rPr>
        <w:t>, we have following observations and proposals:</w:t>
      </w:r>
    </w:p>
    <w:p w14:paraId="76F78493" w14:textId="1C0448E4" w:rsidR="00376778" w:rsidRDefault="00554967">
      <w:pPr>
        <w:spacing w:line="288" w:lineRule="auto"/>
        <w:jc w:val="both"/>
        <w:rPr>
          <w:b/>
          <w:i/>
          <w:u w:val="single"/>
          <w:lang w:val="en-US" w:eastAsia="ko-KR"/>
        </w:rPr>
      </w:pPr>
      <w:r w:rsidRPr="00D42139">
        <w:rPr>
          <w:b/>
          <w:i/>
          <w:u w:val="single"/>
          <w:lang w:val="en-US" w:eastAsia="ko-KR"/>
        </w:rPr>
        <w:t>Observations</w:t>
      </w:r>
    </w:p>
    <w:p w14:paraId="6ECE3634" w14:textId="77777777" w:rsidR="00AA136C" w:rsidRPr="00DF6F45" w:rsidRDefault="00AA136C" w:rsidP="00AA136C">
      <w:pPr>
        <w:spacing w:before="60" w:line="288" w:lineRule="auto"/>
        <w:jc w:val="both"/>
        <w:rPr>
          <w:b/>
          <w:i/>
          <w:lang w:val="en-US" w:eastAsia="ko-KR"/>
        </w:rPr>
      </w:pPr>
      <w:r w:rsidRPr="00DF6F45">
        <w:rPr>
          <w:b/>
          <w:i/>
          <w:lang w:val="en-US" w:eastAsia="ko-KR"/>
        </w:rPr>
        <w:t>Observation</w:t>
      </w:r>
      <w:r>
        <w:rPr>
          <w:b/>
          <w:i/>
          <w:lang w:val="en-US" w:eastAsia="ko-KR"/>
        </w:rPr>
        <w:t xml:space="preserve"> 1</w:t>
      </w:r>
      <w:r w:rsidRPr="00DF6F45">
        <w:rPr>
          <w:b/>
          <w:i/>
          <w:lang w:val="en-US" w:eastAsia="ko-KR"/>
        </w:rPr>
        <w:t>: UE behavior should be specified in case that a DCI based BWP related command is received when UE is following the timer.</w:t>
      </w:r>
    </w:p>
    <w:p w14:paraId="0AF4A408" w14:textId="77777777" w:rsidR="00AA136C" w:rsidRPr="00DF6F45" w:rsidRDefault="00AA136C" w:rsidP="00AA136C">
      <w:pPr>
        <w:spacing w:line="288" w:lineRule="auto"/>
        <w:jc w:val="both"/>
        <w:rPr>
          <w:b/>
          <w:i/>
          <w:lang w:val="en-US" w:eastAsia="ko-KR"/>
        </w:rPr>
      </w:pPr>
      <w:r w:rsidRPr="00DF6F45">
        <w:rPr>
          <w:b/>
          <w:i/>
          <w:lang w:val="en-US" w:eastAsia="ko-KR"/>
        </w:rPr>
        <w:t>Observation</w:t>
      </w:r>
      <w:r>
        <w:rPr>
          <w:b/>
          <w:i/>
          <w:lang w:val="en-US" w:eastAsia="ko-KR"/>
        </w:rPr>
        <w:t xml:space="preserve"> 2</w:t>
      </w:r>
      <w:r w:rsidRPr="00DF6F45">
        <w:rPr>
          <w:b/>
          <w:i/>
          <w:lang w:val="en-US" w:eastAsia="ko-KR"/>
        </w:rPr>
        <w:t xml:space="preserve">: </w:t>
      </w:r>
      <w:r w:rsidRPr="00DF6F45">
        <w:rPr>
          <w:rFonts w:hint="eastAsia"/>
          <w:b/>
          <w:i/>
          <w:lang w:val="en-US" w:eastAsia="ko-KR"/>
        </w:rPr>
        <w:t>A mechanism h</w:t>
      </w:r>
      <w:r w:rsidRPr="00DF6F45">
        <w:rPr>
          <w:b/>
          <w:i/>
          <w:lang w:val="en-US" w:eastAsia="ko-KR"/>
        </w:rPr>
        <w:t>ow to receive common DCI when active DL BWP does not include common search space should be further studied.</w:t>
      </w:r>
    </w:p>
    <w:p w14:paraId="10CB666B" w14:textId="77777777" w:rsidR="00AA136C" w:rsidRPr="00DF6F45" w:rsidRDefault="00AA136C" w:rsidP="00AA136C">
      <w:pPr>
        <w:jc w:val="both"/>
        <w:rPr>
          <w:b/>
          <w:i/>
          <w:lang w:val="en-US"/>
        </w:rPr>
      </w:pPr>
      <w:r w:rsidRPr="00DF6F45">
        <w:rPr>
          <w:b/>
          <w:i/>
          <w:lang w:val="en-US"/>
        </w:rPr>
        <w:t>Observation</w:t>
      </w:r>
      <w:r>
        <w:rPr>
          <w:b/>
          <w:i/>
          <w:lang w:val="en-US"/>
        </w:rPr>
        <w:t xml:space="preserve"> 3</w:t>
      </w:r>
      <w:r w:rsidRPr="00DF6F45">
        <w:rPr>
          <w:b/>
          <w:i/>
          <w:lang w:val="en-US"/>
        </w:rPr>
        <w:t>: Retransmission across BWPs is allowed only if the BWPs are configured with the same numerology.</w:t>
      </w:r>
    </w:p>
    <w:p w14:paraId="2D66B37B" w14:textId="580031A0" w:rsidR="000F4080" w:rsidRDefault="000F4080">
      <w:pPr>
        <w:spacing w:line="288" w:lineRule="auto"/>
        <w:jc w:val="both"/>
        <w:rPr>
          <w:b/>
          <w:i/>
          <w:u w:val="single"/>
          <w:lang w:val="en-US" w:eastAsia="ko-KR"/>
        </w:rPr>
      </w:pPr>
      <w:r w:rsidRPr="00D42139">
        <w:rPr>
          <w:b/>
          <w:i/>
          <w:u w:val="single"/>
          <w:lang w:val="en-US" w:eastAsia="ko-KR"/>
        </w:rPr>
        <w:t>Proposals</w:t>
      </w:r>
    </w:p>
    <w:p w14:paraId="0BEBB4E2" w14:textId="77777777" w:rsidR="002A2071" w:rsidRPr="00DF6F45" w:rsidRDefault="002A2071" w:rsidP="002A2071">
      <w:pPr>
        <w:spacing w:line="288" w:lineRule="auto"/>
        <w:jc w:val="both"/>
        <w:rPr>
          <w:b/>
          <w:i/>
          <w:lang w:val="en-US" w:eastAsia="ko-KR"/>
        </w:rPr>
      </w:pPr>
      <w:r w:rsidRPr="00DF6F45">
        <w:rPr>
          <w:b/>
          <w:i/>
          <w:lang w:val="en-US" w:eastAsia="ko-KR"/>
        </w:rPr>
        <w:t>Proposal 1: Support UE specific default/anchor BWP.</w:t>
      </w:r>
    </w:p>
    <w:p w14:paraId="6C870BAE" w14:textId="77777777" w:rsidR="002A2071" w:rsidRPr="00DF6F45" w:rsidRDefault="002A2071" w:rsidP="002A2071">
      <w:pPr>
        <w:spacing w:line="288" w:lineRule="auto"/>
        <w:jc w:val="both"/>
        <w:rPr>
          <w:b/>
          <w:i/>
          <w:lang w:val="en-US" w:eastAsia="ko-KR"/>
        </w:rPr>
      </w:pPr>
      <w:r w:rsidRPr="00DF6F45">
        <w:rPr>
          <w:b/>
          <w:i/>
          <w:lang w:val="en-US" w:eastAsia="ko-KR"/>
        </w:rPr>
        <w:t xml:space="preserve">Proposal 2: No indication regarding BWP (or default BWP) is needed in PBCH and during initial access phase. </w:t>
      </w:r>
    </w:p>
    <w:p w14:paraId="13D7FA4A" w14:textId="77777777" w:rsidR="002A2071" w:rsidRPr="00DF6F45" w:rsidRDefault="002A2071" w:rsidP="002A2071">
      <w:pPr>
        <w:spacing w:line="288" w:lineRule="auto"/>
        <w:jc w:val="both"/>
        <w:rPr>
          <w:b/>
          <w:i/>
          <w:lang w:val="en-US" w:eastAsia="ko-KR"/>
        </w:rPr>
      </w:pPr>
      <w:r w:rsidRPr="00DF6F45">
        <w:rPr>
          <w:b/>
          <w:i/>
          <w:lang w:val="en-US" w:eastAsia="ko-KR"/>
        </w:rPr>
        <w:t xml:space="preserve">Proposal 3: The size of the default BWP can be same as the minimum channel BW supported by all NR UEs. </w:t>
      </w:r>
    </w:p>
    <w:p w14:paraId="2BCCD182" w14:textId="77777777" w:rsidR="00AA136C" w:rsidRPr="00DF6F45" w:rsidRDefault="00AA136C" w:rsidP="00AA136C">
      <w:pPr>
        <w:spacing w:before="60" w:line="288" w:lineRule="auto"/>
        <w:jc w:val="both"/>
        <w:rPr>
          <w:b/>
          <w:i/>
          <w:lang w:val="en-US" w:eastAsia="ko-KR"/>
        </w:rPr>
      </w:pPr>
      <w:r w:rsidRPr="00DF6F45">
        <w:rPr>
          <w:b/>
          <w:i/>
          <w:lang w:val="en-US" w:eastAsia="ko-KR"/>
        </w:rPr>
        <w:t>Proposal</w:t>
      </w:r>
      <w:r>
        <w:rPr>
          <w:b/>
          <w:i/>
          <w:lang w:val="en-US" w:eastAsia="ko-KR"/>
        </w:rPr>
        <w:t xml:space="preserve"> 4</w:t>
      </w:r>
      <w:r w:rsidRPr="00DF6F45">
        <w:rPr>
          <w:b/>
          <w:i/>
          <w:lang w:val="en-US" w:eastAsia="ko-KR"/>
        </w:rPr>
        <w:t>: Support DCI-based activation mechanisms for BWP along with timer-based mechanisms to allow for fallback mode operations.</w:t>
      </w:r>
    </w:p>
    <w:p w14:paraId="470B8B94" w14:textId="77777777" w:rsidR="00AA136C" w:rsidRPr="00DF6F45" w:rsidRDefault="00AA136C" w:rsidP="00AA136C">
      <w:pPr>
        <w:spacing w:before="60" w:line="288" w:lineRule="auto"/>
        <w:jc w:val="both"/>
        <w:rPr>
          <w:b/>
          <w:i/>
          <w:lang w:val="en-US" w:eastAsia="ko-KR"/>
        </w:rPr>
      </w:pPr>
      <w:r w:rsidRPr="00DF6F45">
        <w:rPr>
          <w:b/>
          <w:i/>
          <w:lang w:val="en-US" w:eastAsia="ko-KR"/>
        </w:rPr>
        <w:t>Proposal</w:t>
      </w:r>
      <w:r>
        <w:rPr>
          <w:b/>
          <w:i/>
          <w:lang w:val="en-US" w:eastAsia="ko-KR"/>
        </w:rPr>
        <w:t xml:space="preserve"> 5</w:t>
      </w:r>
      <w:r w:rsidRPr="00DF6F45">
        <w:rPr>
          <w:b/>
          <w:i/>
          <w:lang w:val="en-US" w:eastAsia="ko-KR"/>
        </w:rPr>
        <w:t>: NR supports time pattern-based BWP activation.</w:t>
      </w:r>
    </w:p>
    <w:p w14:paraId="0FE965C3" w14:textId="77777777" w:rsidR="00AA136C" w:rsidRPr="00DF6F45" w:rsidRDefault="00AA136C" w:rsidP="00AA136C">
      <w:pPr>
        <w:jc w:val="both"/>
        <w:rPr>
          <w:b/>
          <w:i/>
          <w:lang w:val="en-US" w:eastAsia="ko-KR"/>
        </w:rPr>
      </w:pPr>
      <w:r w:rsidRPr="00DF6F45">
        <w:rPr>
          <w:b/>
          <w:i/>
          <w:lang w:val="en-US" w:eastAsia="ko-KR"/>
        </w:rPr>
        <w:t>Proposal</w:t>
      </w:r>
      <w:r>
        <w:rPr>
          <w:b/>
          <w:i/>
          <w:lang w:val="en-US" w:eastAsia="ko-KR"/>
        </w:rPr>
        <w:t xml:space="preserve"> 6</w:t>
      </w:r>
      <w:r w:rsidRPr="00DF6F45">
        <w:rPr>
          <w:b/>
          <w:i/>
          <w:lang w:val="en-US" w:eastAsia="ko-KR"/>
        </w:rPr>
        <w:t xml:space="preserve">: </w:t>
      </w:r>
      <w:r w:rsidRPr="00DF6F45">
        <w:rPr>
          <w:rFonts w:hint="eastAsia"/>
          <w:b/>
          <w:i/>
          <w:lang w:val="en-US" w:eastAsia="ko-KR"/>
        </w:rPr>
        <w:t>Cross-BWP scheduling is supported.</w:t>
      </w:r>
    </w:p>
    <w:p w14:paraId="07F1B093" w14:textId="77777777" w:rsidR="00AA136C" w:rsidRPr="00DF6F45" w:rsidRDefault="00AA136C" w:rsidP="00AA136C">
      <w:pPr>
        <w:jc w:val="both"/>
        <w:rPr>
          <w:b/>
          <w:i/>
          <w:lang w:val="en-US" w:eastAsia="ko-KR"/>
        </w:rPr>
      </w:pPr>
      <w:r w:rsidRPr="00DF6F45">
        <w:rPr>
          <w:b/>
          <w:i/>
          <w:lang w:val="en-US" w:eastAsia="ko-KR"/>
        </w:rPr>
        <w:t>Proposal</w:t>
      </w:r>
      <w:r>
        <w:rPr>
          <w:b/>
          <w:i/>
          <w:lang w:val="en-US" w:eastAsia="ko-KR"/>
        </w:rPr>
        <w:t xml:space="preserve"> 7</w:t>
      </w:r>
      <w:r w:rsidRPr="00DF6F45">
        <w:rPr>
          <w:b/>
          <w:i/>
          <w:lang w:val="en-US" w:eastAsia="ko-KR"/>
        </w:rPr>
        <w:t xml:space="preserve">: </w:t>
      </w:r>
      <w:r w:rsidRPr="00DF6F45">
        <w:rPr>
          <w:rFonts w:hint="eastAsia"/>
          <w:b/>
          <w:i/>
          <w:lang w:val="en-US" w:eastAsia="ko-KR"/>
        </w:rPr>
        <w:t xml:space="preserve">BWP indication field is added in the DCI if cross-BWP </w:t>
      </w:r>
      <w:r w:rsidRPr="00DF6F45">
        <w:rPr>
          <w:b/>
          <w:i/>
          <w:lang w:val="en-US" w:eastAsia="ko-KR"/>
        </w:rPr>
        <w:t>scheduling</w:t>
      </w:r>
      <w:r w:rsidRPr="00DF6F45">
        <w:rPr>
          <w:rFonts w:hint="eastAsia"/>
          <w:b/>
          <w:i/>
          <w:lang w:val="en-US" w:eastAsia="ko-KR"/>
        </w:rPr>
        <w:t xml:space="preserve"> is supported and BWP indication field is configurable.</w:t>
      </w:r>
    </w:p>
    <w:p w14:paraId="1CCD2C60" w14:textId="77777777" w:rsidR="00AA136C" w:rsidRPr="00D42139" w:rsidRDefault="00AA136C" w:rsidP="00AA136C">
      <w:pPr>
        <w:spacing w:line="288" w:lineRule="auto"/>
        <w:jc w:val="both"/>
        <w:rPr>
          <w:b/>
          <w:i/>
          <w:lang w:val="en-US" w:eastAsia="ko-KR"/>
        </w:rPr>
      </w:pPr>
      <w:r w:rsidRPr="00D42139">
        <w:rPr>
          <w:b/>
          <w:i/>
          <w:lang w:val="en-US" w:eastAsia="ko-KR"/>
        </w:rPr>
        <w:t>Proposal</w:t>
      </w:r>
      <w:r>
        <w:rPr>
          <w:b/>
          <w:i/>
          <w:lang w:val="en-US" w:eastAsia="ko-KR"/>
        </w:rPr>
        <w:t xml:space="preserve"> 8</w:t>
      </w:r>
      <w:r w:rsidRPr="00D42139">
        <w:rPr>
          <w:b/>
          <w:i/>
          <w:lang w:val="en-US" w:eastAsia="ko-KR"/>
        </w:rPr>
        <w:t>: A UE can assume same CORESET configuration parameters, at least for user specific search, across different configured BWPs with same numerology.</w:t>
      </w:r>
    </w:p>
    <w:p w14:paraId="64F98AA8" w14:textId="77777777" w:rsidR="00AA136C" w:rsidRPr="00DF6F45" w:rsidRDefault="00AA136C" w:rsidP="00AA136C">
      <w:pPr>
        <w:jc w:val="both"/>
        <w:rPr>
          <w:b/>
          <w:i/>
          <w:lang w:val="en-US" w:eastAsia="ko-KR"/>
        </w:rPr>
      </w:pPr>
      <w:r w:rsidRPr="00DF6F45">
        <w:rPr>
          <w:b/>
          <w:i/>
          <w:lang w:val="en-US" w:eastAsia="ko-KR"/>
        </w:rPr>
        <w:t>Proposal</w:t>
      </w:r>
      <w:r>
        <w:rPr>
          <w:b/>
          <w:i/>
          <w:lang w:val="en-US" w:eastAsia="ko-KR"/>
        </w:rPr>
        <w:t xml:space="preserve"> 9</w:t>
      </w:r>
      <w:r w:rsidRPr="00DF6F45">
        <w:rPr>
          <w:b/>
          <w:i/>
          <w:lang w:val="en-US" w:eastAsia="ko-KR"/>
        </w:rPr>
        <w:t>: NR UE will be UE specifically signaled about the CSS and group common control parameters per BWP.</w:t>
      </w:r>
    </w:p>
    <w:p w14:paraId="0C8AAD4B" w14:textId="77777777" w:rsidR="00AA136C" w:rsidRPr="00DF6F45" w:rsidRDefault="00AA136C" w:rsidP="00AA136C">
      <w:pPr>
        <w:spacing w:line="288" w:lineRule="auto"/>
        <w:jc w:val="both"/>
        <w:rPr>
          <w:b/>
          <w:i/>
          <w:lang w:val="en-US" w:eastAsia="ko-KR"/>
        </w:rPr>
      </w:pPr>
      <w:r w:rsidRPr="00DF6F45">
        <w:rPr>
          <w:b/>
          <w:i/>
          <w:lang w:val="en-US" w:eastAsia="ko-KR"/>
        </w:rPr>
        <w:t xml:space="preserve">Proposal </w:t>
      </w:r>
      <w:r>
        <w:rPr>
          <w:b/>
          <w:i/>
          <w:lang w:val="en-US" w:eastAsia="ko-KR"/>
        </w:rPr>
        <w:t>10</w:t>
      </w:r>
      <w:r w:rsidRPr="00DF6F45">
        <w:rPr>
          <w:b/>
          <w:i/>
          <w:lang w:val="en-US" w:eastAsia="ko-KR"/>
        </w:rPr>
        <w:t xml:space="preserve">: Support Alt 2 for PRB grid alignment in wideband system design. </w:t>
      </w:r>
    </w:p>
    <w:p w14:paraId="20B50EA4" w14:textId="77777777" w:rsidR="00AA136C" w:rsidRPr="00DF6F45" w:rsidRDefault="00AA136C" w:rsidP="00AA136C">
      <w:pPr>
        <w:spacing w:line="288" w:lineRule="auto"/>
        <w:jc w:val="both"/>
        <w:rPr>
          <w:b/>
          <w:i/>
          <w:lang w:val="en-US" w:eastAsia="ko-KR"/>
        </w:rPr>
      </w:pPr>
      <w:r w:rsidRPr="00DF6F45">
        <w:rPr>
          <w:b/>
          <w:i/>
          <w:lang w:val="en-US" w:eastAsia="ko-KR"/>
        </w:rPr>
        <w:t xml:space="preserve">Proposal </w:t>
      </w:r>
      <w:r>
        <w:rPr>
          <w:b/>
          <w:i/>
          <w:lang w:val="en-US" w:eastAsia="ko-KR"/>
        </w:rPr>
        <w:t>11</w:t>
      </w:r>
      <w:r w:rsidRPr="00DF6F45">
        <w:rPr>
          <w:b/>
          <w:i/>
          <w:lang w:val="en-US" w:eastAsia="ko-KR"/>
        </w:rPr>
        <w:t xml:space="preserve">: Support both narrowband and wideband CSI-RS mapping. </w:t>
      </w:r>
    </w:p>
    <w:p w14:paraId="30D51A67" w14:textId="77777777" w:rsidR="00AA136C" w:rsidRDefault="00AA136C" w:rsidP="00AA136C">
      <w:pPr>
        <w:spacing w:line="288" w:lineRule="auto"/>
        <w:jc w:val="both"/>
        <w:rPr>
          <w:b/>
          <w:i/>
          <w:lang w:val="en-US" w:eastAsia="ko-KR"/>
        </w:rPr>
      </w:pPr>
      <w:r w:rsidRPr="00DF6F45">
        <w:rPr>
          <w:b/>
          <w:i/>
          <w:lang w:val="en-US" w:eastAsia="ko-KR"/>
        </w:rPr>
        <w:t xml:space="preserve">Proposal </w:t>
      </w:r>
      <w:r>
        <w:rPr>
          <w:b/>
          <w:i/>
          <w:lang w:val="en-US" w:eastAsia="ko-KR"/>
        </w:rPr>
        <w:t>12</w:t>
      </w:r>
      <w:r w:rsidRPr="00DF6F45">
        <w:rPr>
          <w:b/>
          <w:i/>
          <w:lang w:val="en-US" w:eastAsia="ko-KR"/>
        </w:rPr>
        <w:t>: PRG and RBG sizes may be chosen based on the WB and NB UE multiplexing and indicated to the WB UE if constrained by the NB UE behavior.</w:t>
      </w:r>
    </w:p>
    <w:p w14:paraId="09292E61" w14:textId="77777777" w:rsidR="00AA136C" w:rsidRDefault="00AA136C" w:rsidP="00AA136C">
      <w:pPr>
        <w:spacing w:line="288" w:lineRule="auto"/>
        <w:jc w:val="both"/>
        <w:rPr>
          <w:b/>
          <w:i/>
          <w:lang w:val="en-US" w:eastAsia="ko-KR"/>
        </w:rPr>
      </w:pPr>
      <w:r w:rsidRPr="00DD2AE7">
        <w:rPr>
          <w:b/>
          <w:i/>
          <w:lang w:val="en-US" w:eastAsia="ko-KR"/>
        </w:rPr>
        <w:t xml:space="preserve">Proposal </w:t>
      </w:r>
      <w:r>
        <w:rPr>
          <w:rFonts w:hint="eastAsia"/>
          <w:b/>
          <w:i/>
          <w:lang w:val="en-US" w:eastAsia="ko-KR"/>
        </w:rPr>
        <w:t>1</w:t>
      </w:r>
      <w:r>
        <w:rPr>
          <w:b/>
          <w:i/>
          <w:lang w:val="en-US" w:eastAsia="ko-KR"/>
        </w:rPr>
        <w:t>3</w:t>
      </w:r>
      <w:r w:rsidRPr="00DD2AE7">
        <w:rPr>
          <w:b/>
          <w:i/>
          <w:lang w:val="en-US" w:eastAsia="ko-KR"/>
        </w:rPr>
        <w:t xml:space="preserve">: </w:t>
      </w:r>
      <w:r>
        <w:rPr>
          <w:rFonts w:hint="eastAsia"/>
          <w:b/>
          <w:i/>
          <w:lang w:val="en-US" w:eastAsia="ko-KR"/>
        </w:rPr>
        <w:t xml:space="preserve">If RBG size candidates are decided as 2 to the power of N such as 2, 4, 8, and 16, the nested-RBG </w:t>
      </w:r>
      <w:r>
        <w:rPr>
          <w:b/>
          <w:i/>
          <w:lang w:val="en-US" w:eastAsia="ko-KR"/>
        </w:rPr>
        <w:t>structure</w:t>
      </w:r>
      <w:r>
        <w:rPr>
          <w:rFonts w:hint="eastAsia"/>
          <w:b/>
          <w:i/>
          <w:lang w:val="en-US" w:eastAsia="ko-KR"/>
        </w:rPr>
        <w:t xml:space="preserve"> should be supported in NR to provide better degree-of-freedom for scheduling. In addition, NR supports RBG grid </w:t>
      </w:r>
      <w:r>
        <w:rPr>
          <w:b/>
          <w:i/>
          <w:lang w:val="en-US" w:eastAsia="ko-KR"/>
        </w:rPr>
        <w:t>alignment</w:t>
      </w:r>
      <w:r>
        <w:rPr>
          <w:rFonts w:hint="eastAsia"/>
          <w:b/>
          <w:i/>
          <w:lang w:val="en-US" w:eastAsia="ko-KR"/>
        </w:rPr>
        <w:t xml:space="preserve"> between different UEs. </w:t>
      </w:r>
    </w:p>
    <w:p w14:paraId="0FD7CB93" w14:textId="77777777" w:rsidR="00AA136C" w:rsidRDefault="00AA136C" w:rsidP="00AA136C">
      <w:pPr>
        <w:spacing w:line="288" w:lineRule="auto"/>
        <w:rPr>
          <w:b/>
          <w:i/>
          <w:lang w:val="en-US" w:eastAsia="ko-KR"/>
        </w:rPr>
      </w:pPr>
      <w:r w:rsidRPr="00DD2AE7">
        <w:rPr>
          <w:b/>
          <w:i/>
          <w:lang w:val="en-US" w:eastAsia="ko-KR"/>
        </w:rPr>
        <w:t xml:space="preserve">Proposal </w:t>
      </w:r>
      <w:r>
        <w:rPr>
          <w:rFonts w:hint="eastAsia"/>
          <w:b/>
          <w:i/>
          <w:lang w:val="en-US" w:eastAsia="ko-KR"/>
        </w:rPr>
        <w:t>1</w:t>
      </w:r>
      <w:r>
        <w:rPr>
          <w:b/>
          <w:i/>
          <w:lang w:val="en-US" w:eastAsia="ko-KR"/>
        </w:rPr>
        <w:t>4</w:t>
      </w:r>
      <w:r w:rsidRPr="00DD2AE7">
        <w:rPr>
          <w:b/>
          <w:i/>
          <w:lang w:val="en-US" w:eastAsia="ko-KR"/>
        </w:rPr>
        <w:t xml:space="preserve">: </w:t>
      </w:r>
      <w:r>
        <w:rPr>
          <w:rFonts w:hint="eastAsia"/>
          <w:b/>
          <w:i/>
          <w:lang w:val="en-US" w:eastAsia="ko-KR"/>
        </w:rPr>
        <w:t>Consider following options to support RBG grid alignment. Other options are not precluded.</w:t>
      </w:r>
    </w:p>
    <w:p w14:paraId="12206295" w14:textId="77777777" w:rsidR="00AA136C" w:rsidRDefault="00AA136C" w:rsidP="0049726B">
      <w:pPr>
        <w:pStyle w:val="ListParagraph"/>
        <w:rPr>
          <w:b/>
          <w:i/>
          <w:lang w:val="en-US" w:eastAsia="ko-KR"/>
        </w:rPr>
      </w:pPr>
      <w:r w:rsidRPr="003B77F5">
        <w:rPr>
          <w:rFonts w:hint="eastAsia"/>
          <w:b/>
          <w:i/>
          <w:lang w:val="en-US" w:eastAsia="ko-KR"/>
        </w:rPr>
        <w:t xml:space="preserve">Option-1: </w:t>
      </w:r>
      <w:r w:rsidRPr="003B77F5">
        <w:rPr>
          <w:b/>
          <w:i/>
          <w:lang w:val="en-US" w:eastAsia="ko-KR"/>
        </w:rPr>
        <w:t>RBG grid is decided based on wideband CC and then BWP is configured irrespective of this grid</w:t>
      </w:r>
      <w:r w:rsidRPr="003B77F5">
        <w:rPr>
          <w:rFonts w:hint="eastAsia"/>
          <w:b/>
          <w:i/>
          <w:lang w:val="en-US" w:eastAsia="ko-KR"/>
        </w:rPr>
        <w:t>.</w:t>
      </w:r>
    </w:p>
    <w:p w14:paraId="28597BB6" w14:textId="7F72B41C" w:rsidR="002A2071" w:rsidRPr="00D42139" w:rsidRDefault="00AA136C" w:rsidP="0049726B">
      <w:pPr>
        <w:pStyle w:val="ListParagraph"/>
        <w:rPr>
          <w:b/>
          <w:i/>
          <w:u w:val="single"/>
          <w:lang w:val="en-US" w:eastAsia="ko-KR"/>
        </w:rPr>
      </w:pPr>
      <w:r w:rsidRPr="003B77F5">
        <w:rPr>
          <w:b/>
          <w:i/>
          <w:lang w:val="en-US" w:eastAsia="ko-KR"/>
        </w:rPr>
        <w:t>Option-2: RBG grid is generated based on the activated BWP irrespective of the location of BWP within the WB CC. But BWP configuration is performed in terms of max RBG size.</w:t>
      </w:r>
    </w:p>
    <w:p w14:paraId="56BFCFC9" w14:textId="77777777" w:rsidR="00C51967" w:rsidRPr="00D42139" w:rsidRDefault="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D42139">
        <w:rPr>
          <w:szCs w:val="20"/>
          <w:lang w:val="en-US"/>
        </w:rPr>
        <w:t>Reference</w:t>
      </w:r>
      <w:r w:rsidR="004552CE" w:rsidRPr="00D42139">
        <w:rPr>
          <w:szCs w:val="20"/>
          <w:lang w:val="en-US"/>
        </w:rPr>
        <w:t>s</w:t>
      </w:r>
    </w:p>
    <w:p w14:paraId="197941E3" w14:textId="46E39C38" w:rsidR="00F854C9" w:rsidRPr="00D42139" w:rsidRDefault="00F854C9">
      <w:pPr>
        <w:spacing w:before="60"/>
        <w:jc w:val="both"/>
        <w:rPr>
          <w:rFonts w:cs="Batang"/>
        </w:rPr>
      </w:pPr>
      <w:r w:rsidRPr="00DF6F45">
        <w:rPr>
          <w:rFonts w:hint="eastAsia"/>
          <w:lang w:eastAsia="ko-KR"/>
        </w:rPr>
        <w:t>[</w:t>
      </w:r>
      <w:r w:rsidR="005469A0" w:rsidRPr="00DF6F45">
        <w:rPr>
          <w:lang w:eastAsia="ko-KR"/>
        </w:rPr>
        <w:t>1</w:t>
      </w:r>
      <w:r w:rsidRPr="00DF6F45">
        <w:rPr>
          <w:lang w:eastAsia="ko-KR"/>
        </w:rPr>
        <w:t>] R1-1704179 (R4-1702029), Reply LS on UE RF Bandwidth Adaptation in NR, RAN4</w:t>
      </w:r>
    </w:p>
    <w:p w14:paraId="432521B4" w14:textId="602F6A39" w:rsidR="00F41FE3" w:rsidRPr="00D42139" w:rsidRDefault="005B301D">
      <w:pPr>
        <w:spacing w:before="60"/>
        <w:jc w:val="both"/>
        <w:rPr>
          <w:rFonts w:cs="Batang"/>
        </w:rPr>
      </w:pPr>
      <w:r w:rsidRPr="00D42139">
        <w:rPr>
          <w:rFonts w:cs="Batang"/>
        </w:rPr>
        <w:t>[</w:t>
      </w:r>
      <w:r w:rsidR="005469A0" w:rsidRPr="00D42139">
        <w:rPr>
          <w:rFonts w:cs="Batang"/>
        </w:rPr>
        <w:t>2</w:t>
      </w:r>
      <w:r w:rsidRPr="00D42139">
        <w:rPr>
          <w:rFonts w:cs="Batang"/>
        </w:rPr>
        <w:t>] R1-</w:t>
      </w:r>
      <w:r w:rsidR="005469A0" w:rsidRPr="00D42139">
        <w:rPr>
          <w:rFonts w:cs="Batang"/>
        </w:rPr>
        <w:t>1710626</w:t>
      </w:r>
      <w:r w:rsidR="00470513" w:rsidRPr="00D42139">
        <w:rPr>
          <w:rFonts w:cs="Batang"/>
        </w:rPr>
        <w:t>,</w:t>
      </w:r>
      <w:r w:rsidRPr="00D42139">
        <w:rPr>
          <w:rFonts w:cs="Batang"/>
        </w:rPr>
        <w:t xml:space="preserve"> </w:t>
      </w:r>
      <w:r w:rsidR="009E30F9" w:rsidRPr="00D42139">
        <w:rPr>
          <w:rFonts w:cs="Batang"/>
        </w:rPr>
        <w:t>Remaining details on multiple SS block transmissions in wideband CC</w:t>
      </w:r>
      <w:r w:rsidRPr="00D42139">
        <w:rPr>
          <w:rFonts w:cs="Batang"/>
        </w:rPr>
        <w:t>, Samsung</w:t>
      </w:r>
    </w:p>
    <w:sectPr w:rsidR="00F41FE3" w:rsidRPr="00D42139" w:rsidSect="00BD4CF4">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F0CCA" w14:textId="77777777" w:rsidR="00080921" w:rsidRDefault="00080921">
      <w:r>
        <w:separator/>
      </w:r>
    </w:p>
  </w:endnote>
  <w:endnote w:type="continuationSeparator" w:id="0">
    <w:p w14:paraId="5F98943A" w14:textId="77777777" w:rsidR="00080921" w:rsidRDefault="0008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Yu Mincho">
    <w:altName w:val="MS Mincho"/>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1051F" w14:textId="77777777" w:rsidR="00080921" w:rsidRDefault="00080921">
      <w:r>
        <w:separator/>
      </w:r>
    </w:p>
  </w:footnote>
  <w:footnote w:type="continuationSeparator" w:id="0">
    <w:p w14:paraId="55C8BDDC" w14:textId="77777777" w:rsidR="00080921" w:rsidRDefault="00080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195DE" w14:textId="77777777" w:rsidR="00E12C31" w:rsidRDefault="00E12C3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1640265"/>
    <w:multiLevelType w:val="hybridMultilevel"/>
    <w:tmpl w:val="27184944"/>
    <w:lvl w:ilvl="0" w:tplc="1522F5DC">
      <w:start w:val="1"/>
      <w:numFmt w:val="bullet"/>
      <w:lvlText w:val="•"/>
      <w:lvlJc w:val="left"/>
      <w:pPr>
        <w:tabs>
          <w:tab w:val="num" w:pos="720"/>
        </w:tabs>
        <w:ind w:left="720" w:hanging="360"/>
      </w:pPr>
      <w:rPr>
        <w:rFonts w:ascii="Arial" w:hAnsi="Arial" w:hint="default"/>
      </w:rPr>
    </w:lvl>
    <w:lvl w:ilvl="1" w:tplc="A81CD5BE">
      <w:numFmt w:val="bullet"/>
      <w:lvlText w:val="–"/>
      <w:lvlJc w:val="left"/>
      <w:pPr>
        <w:tabs>
          <w:tab w:val="num" w:pos="1440"/>
        </w:tabs>
        <w:ind w:left="1440" w:hanging="360"/>
      </w:pPr>
      <w:rPr>
        <w:rFonts w:ascii="Arial" w:hAnsi="Arial" w:hint="default"/>
      </w:rPr>
    </w:lvl>
    <w:lvl w:ilvl="2" w:tplc="837CC526" w:tentative="1">
      <w:start w:val="1"/>
      <w:numFmt w:val="bullet"/>
      <w:lvlText w:val="•"/>
      <w:lvlJc w:val="left"/>
      <w:pPr>
        <w:tabs>
          <w:tab w:val="num" w:pos="2160"/>
        </w:tabs>
        <w:ind w:left="2160" w:hanging="360"/>
      </w:pPr>
      <w:rPr>
        <w:rFonts w:ascii="Arial" w:hAnsi="Arial" w:hint="default"/>
      </w:rPr>
    </w:lvl>
    <w:lvl w:ilvl="3" w:tplc="E940D400" w:tentative="1">
      <w:start w:val="1"/>
      <w:numFmt w:val="bullet"/>
      <w:lvlText w:val="•"/>
      <w:lvlJc w:val="left"/>
      <w:pPr>
        <w:tabs>
          <w:tab w:val="num" w:pos="2880"/>
        </w:tabs>
        <w:ind w:left="2880" w:hanging="360"/>
      </w:pPr>
      <w:rPr>
        <w:rFonts w:ascii="Arial" w:hAnsi="Arial" w:hint="default"/>
      </w:rPr>
    </w:lvl>
    <w:lvl w:ilvl="4" w:tplc="9858ECE6" w:tentative="1">
      <w:start w:val="1"/>
      <w:numFmt w:val="bullet"/>
      <w:lvlText w:val="•"/>
      <w:lvlJc w:val="left"/>
      <w:pPr>
        <w:tabs>
          <w:tab w:val="num" w:pos="3600"/>
        </w:tabs>
        <w:ind w:left="3600" w:hanging="360"/>
      </w:pPr>
      <w:rPr>
        <w:rFonts w:ascii="Arial" w:hAnsi="Arial" w:hint="default"/>
      </w:rPr>
    </w:lvl>
    <w:lvl w:ilvl="5" w:tplc="D5AA984A" w:tentative="1">
      <w:start w:val="1"/>
      <w:numFmt w:val="bullet"/>
      <w:lvlText w:val="•"/>
      <w:lvlJc w:val="left"/>
      <w:pPr>
        <w:tabs>
          <w:tab w:val="num" w:pos="4320"/>
        </w:tabs>
        <w:ind w:left="4320" w:hanging="360"/>
      </w:pPr>
      <w:rPr>
        <w:rFonts w:ascii="Arial" w:hAnsi="Arial" w:hint="default"/>
      </w:rPr>
    </w:lvl>
    <w:lvl w:ilvl="6" w:tplc="B9404062" w:tentative="1">
      <w:start w:val="1"/>
      <w:numFmt w:val="bullet"/>
      <w:lvlText w:val="•"/>
      <w:lvlJc w:val="left"/>
      <w:pPr>
        <w:tabs>
          <w:tab w:val="num" w:pos="5040"/>
        </w:tabs>
        <w:ind w:left="5040" w:hanging="360"/>
      </w:pPr>
      <w:rPr>
        <w:rFonts w:ascii="Arial" w:hAnsi="Arial" w:hint="default"/>
      </w:rPr>
    </w:lvl>
    <w:lvl w:ilvl="7" w:tplc="3D64729C" w:tentative="1">
      <w:start w:val="1"/>
      <w:numFmt w:val="bullet"/>
      <w:lvlText w:val="•"/>
      <w:lvlJc w:val="left"/>
      <w:pPr>
        <w:tabs>
          <w:tab w:val="num" w:pos="5760"/>
        </w:tabs>
        <w:ind w:left="5760" w:hanging="360"/>
      </w:pPr>
      <w:rPr>
        <w:rFonts w:ascii="Arial" w:hAnsi="Arial" w:hint="default"/>
      </w:rPr>
    </w:lvl>
    <w:lvl w:ilvl="8" w:tplc="309C4A90" w:tentative="1">
      <w:start w:val="1"/>
      <w:numFmt w:val="bullet"/>
      <w:lvlText w:val="•"/>
      <w:lvlJc w:val="left"/>
      <w:pPr>
        <w:tabs>
          <w:tab w:val="num" w:pos="6480"/>
        </w:tabs>
        <w:ind w:left="6480" w:hanging="360"/>
      </w:pPr>
      <w:rPr>
        <w:rFonts w:ascii="Arial" w:hAnsi="Arial" w:hint="default"/>
      </w:rPr>
    </w:lvl>
  </w:abstractNum>
  <w:abstractNum w:abstractNumId="2">
    <w:nsid w:val="023C697E"/>
    <w:multiLevelType w:val="hybridMultilevel"/>
    <w:tmpl w:val="DB944B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243D6C"/>
    <w:multiLevelType w:val="hybridMultilevel"/>
    <w:tmpl w:val="40346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C74072"/>
    <w:multiLevelType w:val="hybridMultilevel"/>
    <w:tmpl w:val="EDEE7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341CCF"/>
    <w:multiLevelType w:val="hybridMultilevel"/>
    <w:tmpl w:val="D6308C0E"/>
    <w:lvl w:ilvl="0" w:tplc="5E16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7B18D2"/>
    <w:multiLevelType w:val="hybridMultilevel"/>
    <w:tmpl w:val="E9588D08"/>
    <w:lvl w:ilvl="0" w:tplc="DFFA12A8">
      <w:start w:val="1"/>
      <w:numFmt w:val="bullet"/>
      <w:lvlText w:val="•"/>
      <w:lvlJc w:val="left"/>
      <w:pPr>
        <w:tabs>
          <w:tab w:val="num" w:pos="720"/>
        </w:tabs>
        <w:ind w:left="720" w:hanging="360"/>
      </w:pPr>
      <w:rPr>
        <w:rFonts w:ascii="Arial" w:hAnsi="Arial" w:hint="default"/>
      </w:rPr>
    </w:lvl>
    <w:lvl w:ilvl="1" w:tplc="03EA6590">
      <w:numFmt w:val="bullet"/>
      <w:lvlText w:val="–"/>
      <w:lvlJc w:val="left"/>
      <w:pPr>
        <w:tabs>
          <w:tab w:val="num" w:pos="1440"/>
        </w:tabs>
        <w:ind w:left="1440" w:hanging="360"/>
      </w:pPr>
      <w:rPr>
        <w:rFonts w:ascii="Arial" w:hAnsi="Arial" w:hint="default"/>
      </w:rPr>
    </w:lvl>
    <w:lvl w:ilvl="2" w:tplc="9D6231C4" w:tentative="1">
      <w:start w:val="1"/>
      <w:numFmt w:val="bullet"/>
      <w:lvlText w:val="•"/>
      <w:lvlJc w:val="left"/>
      <w:pPr>
        <w:tabs>
          <w:tab w:val="num" w:pos="2160"/>
        </w:tabs>
        <w:ind w:left="2160" w:hanging="360"/>
      </w:pPr>
      <w:rPr>
        <w:rFonts w:ascii="Arial" w:hAnsi="Arial" w:hint="default"/>
      </w:rPr>
    </w:lvl>
    <w:lvl w:ilvl="3" w:tplc="7A940C04" w:tentative="1">
      <w:start w:val="1"/>
      <w:numFmt w:val="bullet"/>
      <w:lvlText w:val="•"/>
      <w:lvlJc w:val="left"/>
      <w:pPr>
        <w:tabs>
          <w:tab w:val="num" w:pos="2880"/>
        </w:tabs>
        <w:ind w:left="2880" w:hanging="360"/>
      </w:pPr>
      <w:rPr>
        <w:rFonts w:ascii="Arial" w:hAnsi="Arial" w:hint="default"/>
      </w:rPr>
    </w:lvl>
    <w:lvl w:ilvl="4" w:tplc="5C128BF4" w:tentative="1">
      <w:start w:val="1"/>
      <w:numFmt w:val="bullet"/>
      <w:lvlText w:val="•"/>
      <w:lvlJc w:val="left"/>
      <w:pPr>
        <w:tabs>
          <w:tab w:val="num" w:pos="3600"/>
        </w:tabs>
        <w:ind w:left="3600" w:hanging="360"/>
      </w:pPr>
      <w:rPr>
        <w:rFonts w:ascii="Arial" w:hAnsi="Arial" w:hint="default"/>
      </w:rPr>
    </w:lvl>
    <w:lvl w:ilvl="5" w:tplc="AA70FE38" w:tentative="1">
      <w:start w:val="1"/>
      <w:numFmt w:val="bullet"/>
      <w:lvlText w:val="•"/>
      <w:lvlJc w:val="left"/>
      <w:pPr>
        <w:tabs>
          <w:tab w:val="num" w:pos="4320"/>
        </w:tabs>
        <w:ind w:left="4320" w:hanging="360"/>
      </w:pPr>
      <w:rPr>
        <w:rFonts w:ascii="Arial" w:hAnsi="Arial" w:hint="default"/>
      </w:rPr>
    </w:lvl>
    <w:lvl w:ilvl="6" w:tplc="2D56A2D2" w:tentative="1">
      <w:start w:val="1"/>
      <w:numFmt w:val="bullet"/>
      <w:lvlText w:val="•"/>
      <w:lvlJc w:val="left"/>
      <w:pPr>
        <w:tabs>
          <w:tab w:val="num" w:pos="5040"/>
        </w:tabs>
        <w:ind w:left="5040" w:hanging="360"/>
      </w:pPr>
      <w:rPr>
        <w:rFonts w:ascii="Arial" w:hAnsi="Arial" w:hint="default"/>
      </w:rPr>
    </w:lvl>
    <w:lvl w:ilvl="7" w:tplc="E0B6683A" w:tentative="1">
      <w:start w:val="1"/>
      <w:numFmt w:val="bullet"/>
      <w:lvlText w:val="•"/>
      <w:lvlJc w:val="left"/>
      <w:pPr>
        <w:tabs>
          <w:tab w:val="num" w:pos="5760"/>
        </w:tabs>
        <w:ind w:left="5760" w:hanging="360"/>
      </w:pPr>
      <w:rPr>
        <w:rFonts w:ascii="Arial" w:hAnsi="Arial" w:hint="default"/>
      </w:rPr>
    </w:lvl>
    <w:lvl w:ilvl="8" w:tplc="E5BABF66" w:tentative="1">
      <w:start w:val="1"/>
      <w:numFmt w:val="bullet"/>
      <w:lvlText w:val="•"/>
      <w:lvlJc w:val="left"/>
      <w:pPr>
        <w:tabs>
          <w:tab w:val="num" w:pos="6480"/>
        </w:tabs>
        <w:ind w:left="6480" w:hanging="360"/>
      </w:pPr>
      <w:rPr>
        <w:rFonts w:ascii="Arial" w:hAnsi="Arial" w:hint="default"/>
      </w:rPr>
    </w:lvl>
  </w:abstractNum>
  <w:abstractNum w:abstractNumId="7">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8">
    <w:nsid w:val="18FD4CD6"/>
    <w:multiLevelType w:val="multilevel"/>
    <w:tmpl w:val="6D9A127A"/>
    <w:lvl w:ilvl="0">
      <w:start w:val="1"/>
      <w:numFmt w:val="decimal"/>
      <w:lvlText w:val="%1"/>
      <w:lvlJc w:val="left"/>
      <w:pPr>
        <w:tabs>
          <w:tab w:val="num" w:pos="432"/>
        </w:tabs>
        <w:ind w:left="0" w:firstLine="0"/>
      </w:pPr>
      <w:rPr>
        <w:rFonts w:hint="default"/>
      </w:rPr>
    </w:lvl>
    <w:lvl w:ilvl="1">
      <w:start w:val="1"/>
      <w:numFmt w:val="decimal"/>
      <w:pStyle w:val="Heading2"/>
      <w:isLgl/>
      <w:lvlText w:val="%1.%2"/>
      <w:lvlJc w:val="left"/>
      <w:pPr>
        <w:tabs>
          <w:tab w:val="num" w:pos="432"/>
        </w:tabs>
        <w:ind w:left="0" w:firstLine="0"/>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9">
    <w:nsid w:val="19E774BD"/>
    <w:multiLevelType w:val="hybridMultilevel"/>
    <w:tmpl w:val="89202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B04207"/>
    <w:multiLevelType w:val="hybridMultilevel"/>
    <w:tmpl w:val="F336E86A"/>
    <w:lvl w:ilvl="0" w:tplc="7BE683A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ED50D1F"/>
    <w:multiLevelType w:val="hybridMultilevel"/>
    <w:tmpl w:val="42EE36BC"/>
    <w:lvl w:ilvl="0" w:tplc="46187686">
      <w:start w:val="1"/>
      <w:numFmt w:val="bullet"/>
      <w:lvlText w:val="•"/>
      <w:lvlJc w:val="left"/>
      <w:pPr>
        <w:tabs>
          <w:tab w:val="num" w:pos="720"/>
        </w:tabs>
        <w:ind w:left="720" w:hanging="360"/>
      </w:pPr>
      <w:rPr>
        <w:rFonts w:ascii="Arial" w:hAnsi="Arial" w:hint="default"/>
      </w:rPr>
    </w:lvl>
    <w:lvl w:ilvl="1" w:tplc="8F3C689E">
      <w:numFmt w:val="bullet"/>
      <w:lvlText w:val="–"/>
      <w:lvlJc w:val="left"/>
      <w:pPr>
        <w:tabs>
          <w:tab w:val="num" w:pos="1440"/>
        </w:tabs>
        <w:ind w:left="1440" w:hanging="360"/>
      </w:pPr>
      <w:rPr>
        <w:rFonts w:ascii="Arial" w:hAnsi="Arial" w:hint="default"/>
      </w:rPr>
    </w:lvl>
    <w:lvl w:ilvl="2" w:tplc="E96455DA" w:tentative="1">
      <w:start w:val="1"/>
      <w:numFmt w:val="bullet"/>
      <w:lvlText w:val="•"/>
      <w:lvlJc w:val="left"/>
      <w:pPr>
        <w:tabs>
          <w:tab w:val="num" w:pos="2160"/>
        </w:tabs>
        <w:ind w:left="2160" w:hanging="360"/>
      </w:pPr>
      <w:rPr>
        <w:rFonts w:ascii="Arial" w:hAnsi="Arial" w:hint="default"/>
      </w:rPr>
    </w:lvl>
    <w:lvl w:ilvl="3" w:tplc="ED2C746C" w:tentative="1">
      <w:start w:val="1"/>
      <w:numFmt w:val="bullet"/>
      <w:lvlText w:val="•"/>
      <w:lvlJc w:val="left"/>
      <w:pPr>
        <w:tabs>
          <w:tab w:val="num" w:pos="2880"/>
        </w:tabs>
        <w:ind w:left="2880" w:hanging="360"/>
      </w:pPr>
      <w:rPr>
        <w:rFonts w:ascii="Arial" w:hAnsi="Arial" w:hint="default"/>
      </w:rPr>
    </w:lvl>
    <w:lvl w:ilvl="4" w:tplc="CFFEE614" w:tentative="1">
      <w:start w:val="1"/>
      <w:numFmt w:val="bullet"/>
      <w:lvlText w:val="•"/>
      <w:lvlJc w:val="left"/>
      <w:pPr>
        <w:tabs>
          <w:tab w:val="num" w:pos="3600"/>
        </w:tabs>
        <w:ind w:left="3600" w:hanging="360"/>
      </w:pPr>
      <w:rPr>
        <w:rFonts w:ascii="Arial" w:hAnsi="Arial" w:hint="default"/>
      </w:rPr>
    </w:lvl>
    <w:lvl w:ilvl="5" w:tplc="4AD4388A" w:tentative="1">
      <w:start w:val="1"/>
      <w:numFmt w:val="bullet"/>
      <w:lvlText w:val="•"/>
      <w:lvlJc w:val="left"/>
      <w:pPr>
        <w:tabs>
          <w:tab w:val="num" w:pos="4320"/>
        </w:tabs>
        <w:ind w:left="4320" w:hanging="360"/>
      </w:pPr>
      <w:rPr>
        <w:rFonts w:ascii="Arial" w:hAnsi="Arial" w:hint="default"/>
      </w:rPr>
    </w:lvl>
    <w:lvl w:ilvl="6" w:tplc="77965954" w:tentative="1">
      <w:start w:val="1"/>
      <w:numFmt w:val="bullet"/>
      <w:lvlText w:val="•"/>
      <w:lvlJc w:val="left"/>
      <w:pPr>
        <w:tabs>
          <w:tab w:val="num" w:pos="5040"/>
        </w:tabs>
        <w:ind w:left="5040" w:hanging="360"/>
      </w:pPr>
      <w:rPr>
        <w:rFonts w:ascii="Arial" w:hAnsi="Arial" w:hint="default"/>
      </w:rPr>
    </w:lvl>
    <w:lvl w:ilvl="7" w:tplc="78862246" w:tentative="1">
      <w:start w:val="1"/>
      <w:numFmt w:val="bullet"/>
      <w:lvlText w:val="•"/>
      <w:lvlJc w:val="left"/>
      <w:pPr>
        <w:tabs>
          <w:tab w:val="num" w:pos="5760"/>
        </w:tabs>
        <w:ind w:left="5760" w:hanging="360"/>
      </w:pPr>
      <w:rPr>
        <w:rFonts w:ascii="Arial" w:hAnsi="Arial" w:hint="default"/>
      </w:rPr>
    </w:lvl>
    <w:lvl w:ilvl="8" w:tplc="276E32B2" w:tentative="1">
      <w:start w:val="1"/>
      <w:numFmt w:val="bullet"/>
      <w:lvlText w:val="•"/>
      <w:lvlJc w:val="left"/>
      <w:pPr>
        <w:tabs>
          <w:tab w:val="num" w:pos="6480"/>
        </w:tabs>
        <w:ind w:left="6480" w:hanging="360"/>
      </w:pPr>
      <w:rPr>
        <w:rFonts w:ascii="Arial" w:hAnsi="Arial" w:hint="default"/>
      </w:rPr>
    </w:lvl>
  </w:abstractNum>
  <w:abstractNum w:abstractNumId="12">
    <w:nsid w:val="210C0AC7"/>
    <w:multiLevelType w:val="hybridMultilevel"/>
    <w:tmpl w:val="37785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434927"/>
    <w:multiLevelType w:val="hybridMultilevel"/>
    <w:tmpl w:val="4D80B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9C6436"/>
    <w:multiLevelType w:val="hybridMultilevel"/>
    <w:tmpl w:val="60E48554"/>
    <w:lvl w:ilvl="0" w:tplc="4822D1EC">
      <w:start w:val="1"/>
      <w:numFmt w:val="bullet"/>
      <w:lvlText w:val="–"/>
      <w:lvlJc w:val="left"/>
      <w:pPr>
        <w:tabs>
          <w:tab w:val="num" w:pos="720"/>
        </w:tabs>
        <w:ind w:left="720" w:hanging="360"/>
      </w:pPr>
      <w:rPr>
        <w:rFonts w:ascii="Arial" w:hAnsi="Arial" w:hint="default"/>
      </w:rPr>
    </w:lvl>
    <w:lvl w:ilvl="1" w:tplc="EF32FE54">
      <w:start w:val="1"/>
      <w:numFmt w:val="bullet"/>
      <w:lvlText w:val="–"/>
      <w:lvlJc w:val="left"/>
      <w:pPr>
        <w:tabs>
          <w:tab w:val="num" w:pos="1440"/>
        </w:tabs>
        <w:ind w:left="1440" w:hanging="360"/>
      </w:pPr>
      <w:rPr>
        <w:rFonts w:ascii="Arial" w:hAnsi="Arial" w:hint="default"/>
      </w:rPr>
    </w:lvl>
    <w:lvl w:ilvl="2" w:tplc="613814F0" w:tentative="1">
      <w:start w:val="1"/>
      <w:numFmt w:val="bullet"/>
      <w:lvlText w:val="–"/>
      <w:lvlJc w:val="left"/>
      <w:pPr>
        <w:tabs>
          <w:tab w:val="num" w:pos="2160"/>
        </w:tabs>
        <w:ind w:left="2160" w:hanging="360"/>
      </w:pPr>
      <w:rPr>
        <w:rFonts w:ascii="Arial" w:hAnsi="Arial" w:hint="default"/>
      </w:rPr>
    </w:lvl>
    <w:lvl w:ilvl="3" w:tplc="BD4EE356" w:tentative="1">
      <w:start w:val="1"/>
      <w:numFmt w:val="bullet"/>
      <w:lvlText w:val="–"/>
      <w:lvlJc w:val="left"/>
      <w:pPr>
        <w:tabs>
          <w:tab w:val="num" w:pos="2880"/>
        </w:tabs>
        <w:ind w:left="2880" w:hanging="360"/>
      </w:pPr>
      <w:rPr>
        <w:rFonts w:ascii="Arial" w:hAnsi="Arial" w:hint="default"/>
      </w:rPr>
    </w:lvl>
    <w:lvl w:ilvl="4" w:tplc="D69CE044" w:tentative="1">
      <w:start w:val="1"/>
      <w:numFmt w:val="bullet"/>
      <w:lvlText w:val="–"/>
      <w:lvlJc w:val="left"/>
      <w:pPr>
        <w:tabs>
          <w:tab w:val="num" w:pos="3600"/>
        </w:tabs>
        <w:ind w:left="3600" w:hanging="360"/>
      </w:pPr>
      <w:rPr>
        <w:rFonts w:ascii="Arial" w:hAnsi="Arial" w:hint="default"/>
      </w:rPr>
    </w:lvl>
    <w:lvl w:ilvl="5" w:tplc="4CE6928C" w:tentative="1">
      <w:start w:val="1"/>
      <w:numFmt w:val="bullet"/>
      <w:lvlText w:val="–"/>
      <w:lvlJc w:val="left"/>
      <w:pPr>
        <w:tabs>
          <w:tab w:val="num" w:pos="4320"/>
        </w:tabs>
        <w:ind w:left="4320" w:hanging="360"/>
      </w:pPr>
      <w:rPr>
        <w:rFonts w:ascii="Arial" w:hAnsi="Arial" w:hint="default"/>
      </w:rPr>
    </w:lvl>
    <w:lvl w:ilvl="6" w:tplc="AD3ECD20" w:tentative="1">
      <w:start w:val="1"/>
      <w:numFmt w:val="bullet"/>
      <w:lvlText w:val="–"/>
      <w:lvlJc w:val="left"/>
      <w:pPr>
        <w:tabs>
          <w:tab w:val="num" w:pos="5040"/>
        </w:tabs>
        <w:ind w:left="5040" w:hanging="360"/>
      </w:pPr>
      <w:rPr>
        <w:rFonts w:ascii="Arial" w:hAnsi="Arial" w:hint="default"/>
      </w:rPr>
    </w:lvl>
    <w:lvl w:ilvl="7" w:tplc="034A717C" w:tentative="1">
      <w:start w:val="1"/>
      <w:numFmt w:val="bullet"/>
      <w:lvlText w:val="–"/>
      <w:lvlJc w:val="left"/>
      <w:pPr>
        <w:tabs>
          <w:tab w:val="num" w:pos="5760"/>
        </w:tabs>
        <w:ind w:left="5760" w:hanging="360"/>
      </w:pPr>
      <w:rPr>
        <w:rFonts w:ascii="Arial" w:hAnsi="Arial" w:hint="default"/>
      </w:rPr>
    </w:lvl>
    <w:lvl w:ilvl="8" w:tplc="3ACE439A" w:tentative="1">
      <w:start w:val="1"/>
      <w:numFmt w:val="bullet"/>
      <w:lvlText w:val="–"/>
      <w:lvlJc w:val="left"/>
      <w:pPr>
        <w:tabs>
          <w:tab w:val="num" w:pos="6480"/>
        </w:tabs>
        <w:ind w:left="6480" w:hanging="360"/>
      </w:pPr>
      <w:rPr>
        <w:rFonts w:ascii="Arial" w:hAnsi="Arial" w:hint="default"/>
      </w:rPr>
    </w:lvl>
  </w:abstractNum>
  <w:abstractNum w:abstractNumId="15">
    <w:nsid w:val="232F02AF"/>
    <w:multiLevelType w:val="hybridMultilevel"/>
    <w:tmpl w:val="44049A3E"/>
    <w:lvl w:ilvl="0" w:tplc="D9529642">
      <w:start w:val="1"/>
      <w:numFmt w:val="bullet"/>
      <w:lvlText w:val="•"/>
      <w:lvlJc w:val="left"/>
      <w:pPr>
        <w:tabs>
          <w:tab w:val="num" w:pos="720"/>
        </w:tabs>
        <w:ind w:left="720" w:hanging="360"/>
      </w:pPr>
      <w:rPr>
        <w:rFonts w:ascii="Arial" w:hAnsi="Arial" w:hint="default"/>
      </w:rPr>
    </w:lvl>
    <w:lvl w:ilvl="1" w:tplc="DFB829D8" w:tentative="1">
      <w:start w:val="1"/>
      <w:numFmt w:val="bullet"/>
      <w:lvlText w:val="•"/>
      <w:lvlJc w:val="left"/>
      <w:pPr>
        <w:tabs>
          <w:tab w:val="num" w:pos="1440"/>
        </w:tabs>
        <w:ind w:left="1440" w:hanging="360"/>
      </w:pPr>
      <w:rPr>
        <w:rFonts w:ascii="Arial" w:hAnsi="Arial" w:hint="default"/>
      </w:rPr>
    </w:lvl>
    <w:lvl w:ilvl="2" w:tplc="A9662B1A" w:tentative="1">
      <w:start w:val="1"/>
      <w:numFmt w:val="bullet"/>
      <w:lvlText w:val="•"/>
      <w:lvlJc w:val="left"/>
      <w:pPr>
        <w:tabs>
          <w:tab w:val="num" w:pos="2160"/>
        </w:tabs>
        <w:ind w:left="2160" w:hanging="360"/>
      </w:pPr>
      <w:rPr>
        <w:rFonts w:ascii="Arial" w:hAnsi="Arial" w:hint="default"/>
      </w:rPr>
    </w:lvl>
    <w:lvl w:ilvl="3" w:tplc="DEDE9FE2" w:tentative="1">
      <w:start w:val="1"/>
      <w:numFmt w:val="bullet"/>
      <w:lvlText w:val="•"/>
      <w:lvlJc w:val="left"/>
      <w:pPr>
        <w:tabs>
          <w:tab w:val="num" w:pos="2880"/>
        </w:tabs>
        <w:ind w:left="2880" w:hanging="360"/>
      </w:pPr>
      <w:rPr>
        <w:rFonts w:ascii="Arial" w:hAnsi="Arial" w:hint="default"/>
      </w:rPr>
    </w:lvl>
    <w:lvl w:ilvl="4" w:tplc="3ED25D70" w:tentative="1">
      <w:start w:val="1"/>
      <w:numFmt w:val="bullet"/>
      <w:lvlText w:val="•"/>
      <w:lvlJc w:val="left"/>
      <w:pPr>
        <w:tabs>
          <w:tab w:val="num" w:pos="3600"/>
        </w:tabs>
        <w:ind w:left="3600" w:hanging="360"/>
      </w:pPr>
      <w:rPr>
        <w:rFonts w:ascii="Arial" w:hAnsi="Arial" w:hint="default"/>
      </w:rPr>
    </w:lvl>
    <w:lvl w:ilvl="5" w:tplc="2C8ECD6E" w:tentative="1">
      <w:start w:val="1"/>
      <w:numFmt w:val="bullet"/>
      <w:lvlText w:val="•"/>
      <w:lvlJc w:val="left"/>
      <w:pPr>
        <w:tabs>
          <w:tab w:val="num" w:pos="4320"/>
        </w:tabs>
        <w:ind w:left="4320" w:hanging="360"/>
      </w:pPr>
      <w:rPr>
        <w:rFonts w:ascii="Arial" w:hAnsi="Arial" w:hint="default"/>
      </w:rPr>
    </w:lvl>
    <w:lvl w:ilvl="6" w:tplc="7ECA7428" w:tentative="1">
      <w:start w:val="1"/>
      <w:numFmt w:val="bullet"/>
      <w:lvlText w:val="•"/>
      <w:lvlJc w:val="left"/>
      <w:pPr>
        <w:tabs>
          <w:tab w:val="num" w:pos="5040"/>
        </w:tabs>
        <w:ind w:left="5040" w:hanging="360"/>
      </w:pPr>
      <w:rPr>
        <w:rFonts w:ascii="Arial" w:hAnsi="Arial" w:hint="default"/>
      </w:rPr>
    </w:lvl>
    <w:lvl w:ilvl="7" w:tplc="A3E61D5A" w:tentative="1">
      <w:start w:val="1"/>
      <w:numFmt w:val="bullet"/>
      <w:lvlText w:val="•"/>
      <w:lvlJc w:val="left"/>
      <w:pPr>
        <w:tabs>
          <w:tab w:val="num" w:pos="5760"/>
        </w:tabs>
        <w:ind w:left="5760" w:hanging="360"/>
      </w:pPr>
      <w:rPr>
        <w:rFonts w:ascii="Arial" w:hAnsi="Arial" w:hint="default"/>
      </w:rPr>
    </w:lvl>
    <w:lvl w:ilvl="8" w:tplc="7CE4B7C2" w:tentative="1">
      <w:start w:val="1"/>
      <w:numFmt w:val="bullet"/>
      <w:lvlText w:val="•"/>
      <w:lvlJc w:val="left"/>
      <w:pPr>
        <w:tabs>
          <w:tab w:val="num" w:pos="6480"/>
        </w:tabs>
        <w:ind w:left="6480" w:hanging="360"/>
      </w:pPr>
      <w:rPr>
        <w:rFonts w:ascii="Arial" w:hAnsi="Arial" w:hint="default"/>
      </w:rPr>
    </w:lvl>
  </w:abstractNum>
  <w:abstractNum w:abstractNumId="16">
    <w:nsid w:val="26361EA2"/>
    <w:multiLevelType w:val="hybridMultilevel"/>
    <w:tmpl w:val="B89CC1FE"/>
    <w:lvl w:ilvl="0" w:tplc="AF7EEBF4">
      <w:start w:val="1"/>
      <w:numFmt w:val="bullet"/>
      <w:lvlText w:val="•"/>
      <w:lvlJc w:val="left"/>
      <w:pPr>
        <w:tabs>
          <w:tab w:val="num" w:pos="720"/>
        </w:tabs>
        <w:ind w:left="720" w:hanging="360"/>
      </w:pPr>
      <w:rPr>
        <w:rFonts w:ascii="Arial" w:hAnsi="Arial" w:hint="default"/>
      </w:rPr>
    </w:lvl>
    <w:lvl w:ilvl="1" w:tplc="A46EA3CC">
      <w:numFmt w:val="bullet"/>
      <w:lvlText w:val="–"/>
      <w:lvlJc w:val="left"/>
      <w:pPr>
        <w:tabs>
          <w:tab w:val="num" w:pos="1440"/>
        </w:tabs>
        <w:ind w:left="1440" w:hanging="360"/>
      </w:pPr>
      <w:rPr>
        <w:rFonts w:ascii="Arial" w:hAnsi="Arial" w:hint="default"/>
      </w:rPr>
    </w:lvl>
    <w:lvl w:ilvl="2" w:tplc="69D23132">
      <w:numFmt w:val="bullet"/>
      <w:lvlText w:val="•"/>
      <w:lvlJc w:val="left"/>
      <w:pPr>
        <w:tabs>
          <w:tab w:val="num" w:pos="2160"/>
        </w:tabs>
        <w:ind w:left="2160" w:hanging="360"/>
      </w:pPr>
      <w:rPr>
        <w:rFonts w:ascii="Arial" w:hAnsi="Arial" w:hint="default"/>
      </w:rPr>
    </w:lvl>
    <w:lvl w:ilvl="3" w:tplc="B69E7F12">
      <w:numFmt w:val="bullet"/>
      <w:lvlText w:val="–"/>
      <w:lvlJc w:val="left"/>
      <w:pPr>
        <w:tabs>
          <w:tab w:val="num" w:pos="2880"/>
        </w:tabs>
        <w:ind w:left="2880" w:hanging="360"/>
      </w:pPr>
      <w:rPr>
        <w:rFonts w:ascii="Arial" w:hAnsi="Arial" w:hint="default"/>
      </w:rPr>
    </w:lvl>
    <w:lvl w:ilvl="4" w:tplc="4C282FAA" w:tentative="1">
      <w:start w:val="1"/>
      <w:numFmt w:val="bullet"/>
      <w:lvlText w:val="•"/>
      <w:lvlJc w:val="left"/>
      <w:pPr>
        <w:tabs>
          <w:tab w:val="num" w:pos="3600"/>
        </w:tabs>
        <w:ind w:left="3600" w:hanging="360"/>
      </w:pPr>
      <w:rPr>
        <w:rFonts w:ascii="Arial" w:hAnsi="Arial" w:hint="default"/>
      </w:rPr>
    </w:lvl>
    <w:lvl w:ilvl="5" w:tplc="0296B156" w:tentative="1">
      <w:start w:val="1"/>
      <w:numFmt w:val="bullet"/>
      <w:lvlText w:val="•"/>
      <w:lvlJc w:val="left"/>
      <w:pPr>
        <w:tabs>
          <w:tab w:val="num" w:pos="4320"/>
        </w:tabs>
        <w:ind w:left="4320" w:hanging="360"/>
      </w:pPr>
      <w:rPr>
        <w:rFonts w:ascii="Arial" w:hAnsi="Arial" w:hint="default"/>
      </w:rPr>
    </w:lvl>
    <w:lvl w:ilvl="6" w:tplc="D5C6C6DE" w:tentative="1">
      <w:start w:val="1"/>
      <w:numFmt w:val="bullet"/>
      <w:lvlText w:val="•"/>
      <w:lvlJc w:val="left"/>
      <w:pPr>
        <w:tabs>
          <w:tab w:val="num" w:pos="5040"/>
        </w:tabs>
        <w:ind w:left="5040" w:hanging="360"/>
      </w:pPr>
      <w:rPr>
        <w:rFonts w:ascii="Arial" w:hAnsi="Arial" w:hint="default"/>
      </w:rPr>
    </w:lvl>
    <w:lvl w:ilvl="7" w:tplc="B14C2E7A" w:tentative="1">
      <w:start w:val="1"/>
      <w:numFmt w:val="bullet"/>
      <w:lvlText w:val="•"/>
      <w:lvlJc w:val="left"/>
      <w:pPr>
        <w:tabs>
          <w:tab w:val="num" w:pos="5760"/>
        </w:tabs>
        <w:ind w:left="5760" w:hanging="360"/>
      </w:pPr>
      <w:rPr>
        <w:rFonts w:ascii="Arial" w:hAnsi="Arial" w:hint="default"/>
      </w:rPr>
    </w:lvl>
    <w:lvl w:ilvl="8" w:tplc="53901B2C" w:tentative="1">
      <w:start w:val="1"/>
      <w:numFmt w:val="bullet"/>
      <w:lvlText w:val="•"/>
      <w:lvlJc w:val="left"/>
      <w:pPr>
        <w:tabs>
          <w:tab w:val="num" w:pos="6480"/>
        </w:tabs>
        <w:ind w:left="6480" w:hanging="360"/>
      </w:pPr>
      <w:rPr>
        <w:rFonts w:ascii="Arial" w:hAnsi="Arial" w:hint="default"/>
      </w:rPr>
    </w:lvl>
  </w:abstractNum>
  <w:abstractNum w:abstractNumId="17">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8">
    <w:nsid w:val="294A45BA"/>
    <w:multiLevelType w:val="hybridMultilevel"/>
    <w:tmpl w:val="5CB87FE4"/>
    <w:lvl w:ilvl="0" w:tplc="EF5E7378">
      <w:start w:val="1"/>
      <w:numFmt w:val="bullet"/>
      <w:lvlText w:val="•"/>
      <w:lvlJc w:val="left"/>
      <w:pPr>
        <w:tabs>
          <w:tab w:val="num" w:pos="720"/>
        </w:tabs>
        <w:ind w:left="720" w:hanging="360"/>
      </w:pPr>
      <w:rPr>
        <w:rFonts w:ascii="Arial" w:hAnsi="Arial" w:hint="default"/>
      </w:rPr>
    </w:lvl>
    <w:lvl w:ilvl="1" w:tplc="5EC6650E">
      <w:numFmt w:val="bullet"/>
      <w:lvlText w:val="–"/>
      <w:lvlJc w:val="left"/>
      <w:pPr>
        <w:tabs>
          <w:tab w:val="num" w:pos="1440"/>
        </w:tabs>
        <w:ind w:left="1440" w:hanging="360"/>
      </w:pPr>
      <w:rPr>
        <w:rFonts w:ascii="Arial" w:hAnsi="Arial" w:hint="default"/>
      </w:rPr>
    </w:lvl>
    <w:lvl w:ilvl="2" w:tplc="333CEDC6" w:tentative="1">
      <w:start w:val="1"/>
      <w:numFmt w:val="bullet"/>
      <w:lvlText w:val="•"/>
      <w:lvlJc w:val="left"/>
      <w:pPr>
        <w:tabs>
          <w:tab w:val="num" w:pos="2160"/>
        </w:tabs>
        <w:ind w:left="2160" w:hanging="360"/>
      </w:pPr>
      <w:rPr>
        <w:rFonts w:ascii="Arial" w:hAnsi="Arial" w:hint="default"/>
      </w:rPr>
    </w:lvl>
    <w:lvl w:ilvl="3" w:tplc="7316778E" w:tentative="1">
      <w:start w:val="1"/>
      <w:numFmt w:val="bullet"/>
      <w:lvlText w:val="•"/>
      <w:lvlJc w:val="left"/>
      <w:pPr>
        <w:tabs>
          <w:tab w:val="num" w:pos="2880"/>
        </w:tabs>
        <w:ind w:left="2880" w:hanging="360"/>
      </w:pPr>
      <w:rPr>
        <w:rFonts w:ascii="Arial" w:hAnsi="Arial" w:hint="default"/>
      </w:rPr>
    </w:lvl>
    <w:lvl w:ilvl="4" w:tplc="EE38A34E" w:tentative="1">
      <w:start w:val="1"/>
      <w:numFmt w:val="bullet"/>
      <w:lvlText w:val="•"/>
      <w:lvlJc w:val="left"/>
      <w:pPr>
        <w:tabs>
          <w:tab w:val="num" w:pos="3600"/>
        </w:tabs>
        <w:ind w:left="3600" w:hanging="360"/>
      </w:pPr>
      <w:rPr>
        <w:rFonts w:ascii="Arial" w:hAnsi="Arial" w:hint="default"/>
      </w:rPr>
    </w:lvl>
    <w:lvl w:ilvl="5" w:tplc="89EED862" w:tentative="1">
      <w:start w:val="1"/>
      <w:numFmt w:val="bullet"/>
      <w:lvlText w:val="•"/>
      <w:lvlJc w:val="left"/>
      <w:pPr>
        <w:tabs>
          <w:tab w:val="num" w:pos="4320"/>
        </w:tabs>
        <w:ind w:left="4320" w:hanging="360"/>
      </w:pPr>
      <w:rPr>
        <w:rFonts w:ascii="Arial" w:hAnsi="Arial" w:hint="default"/>
      </w:rPr>
    </w:lvl>
    <w:lvl w:ilvl="6" w:tplc="E98428C8" w:tentative="1">
      <w:start w:val="1"/>
      <w:numFmt w:val="bullet"/>
      <w:lvlText w:val="•"/>
      <w:lvlJc w:val="left"/>
      <w:pPr>
        <w:tabs>
          <w:tab w:val="num" w:pos="5040"/>
        </w:tabs>
        <w:ind w:left="5040" w:hanging="360"/>
      </w:pPr>
      <w:rPr>
        <w:rFonts w:ascii="Arial" w:hAnsi="Arial" w:hint="default"/>
      </w:rPr>
    </w:lvl>
    <w:lvl w:ilvl="7" w:tplc="C58ABBB6" w:tentative="1">
      <w:start w:val="1"/>
      <w:numFmt w:val="bullet"/>
      <w:lvlText w:val="•"/>
      <w:lvlJc w:val="left"/>
      <w:pPr>
        <w:tabs>
          <w:tab w:val="num" w:pos="5760"/>
        </w:tabs>
        <w:ind w:left="5760" w:hanging="360"/>
      </w:pPr>
      <w:rPr>
        <w:rFonts w:ascii="Arial" w:hAnsi="Arial" w:hint="default"/>
      </w:rPr>
    </w:lvl>
    <w:lvl w:ilvl="8" w:tplc="DA022B1C" w:tentative="1">
      <w:start w:val="1"/>
      <w:numFmt w:val="bullet"/>
      <w:lvlText w:val="•"/>
      <w:lvlJc w:val="left"/>
      <w:pPr>
        <w:tabs>
          <w:tab w:val="num" w:pos="6480"/>
        </w:tabs>
        <w:ind w:left="6480" w:hanging="360"/>
      </w:pPr>
      <w:rPr>
        <w:rFonts w:ascii="Arial" w:hAnsi="Arial" w:hint="default"/>
      </w:rPr>
    </w:lvl>
  </w:abstractNum>
  <w:abstractNum w:abstractNumId="1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977396D"/>
    <w:multiLevelType w:val="hybridMultilevel"/>
    <w:tmpl w:val="E8CA2B04"/>
    <w:lvl w:ilvl="0" w:tplc="A0EAD504">
      <w:start w:val="1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4B2186A"/>
    <w:multiLevelType w:val="hybridMultilevel"/>
    <w:tmpl w:val="17268B22"/>
    <w:lvl w:ilvl="0" w:tplc="919A6410">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3">
    <w:nsid w:val="46462A91"/>
    <w:multiLevelType w:val="hybridMultilevel"/>
    <w:tmpl w:val="EC54D20A"/>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8471919"/>
    <w:multiLevelType w:val="hybridMultilevel"/>
    <w:tmpl w:val="0A1AE96C"/>
    <w:lvl w:ilvl="0" w:tplc="5C1E7DB4">
      <w:start w:val="1"/>
      <w:numFmt w:val="bullet"/>
      <w:lvlText w:val="–"/>
      <w:lvlJc w:val="left"/>
      <w:pPr>
        <w:tabs>
          <w:tab w:val="num" w:pos="720"/>
        </w:tabs>
        <w:ind w:left="720" w:hanging="360"/>
      </w:pPr>
      <w:rPr>
        <w:rFonts w:ascii="Arial" w:hAnsi="Arial" w:hint="default"/>
      </w:rPr>
    </w:lvl>
    <w:lvl w:ilvl="1" w:tplc="C35AE8C8">
      <w:start w:val="1"/>
      <w:numFmt w:val="bullet"/>
      <w:lvlText w:val="–"/>
      <w:lvlJc w:val="left"/>
      <w:pPr>
        <w:tabs>
          <w:tab w:val="num" w:pos="1440"/>
        </w:tabs>
        <w:ind w:left="1440" w:hanging="360"/>
      </w:pPr>
      <w:rPr>
        <w:rFonts w:ascii="Arial" w:hAnsi="Arial" w:hint="default"/>
      </w:rPr>
    </w:lvl>
    <w:lvl w:ilvl="2" w:tplc="ECF4E6B0">
      <w:numFmt w:val="bullet"/>
      <w:lvlText w:val="•"/>
      <w:lvlJc w:val="left"/>
      <w:pPr>
        <w:tabs>
          <w:tab w:val="num" w:pos="2160"/>
        </w:tabs>
        <w:ind w:left="2160" w:hanging="360"/>
      </w:pPr>
      <w:rPr>
        <w:rFonts w:ascii="Arial" w:hAnsi="Arial" w:hint="default"/>
      </w:rPr>
    </w:lvl>
    <w:lvl w:ilvl="3" w:tplc="8FF8A1FC" w:tentative="1">
      <w:start w:val="1"/>
      <w:numFmt w:val="bullet"/>
      <w:lvlText w:val="–"/>
      <w:lvlJc w:val="left"/>
      <w:pPr>
        <w:tabs>
          <w:tab w:val="num" w:pos="2880"/>
        </w:tabs>
        <w:ind w:left="2880" w:hanging="360"/>
      </w:pPr>
      <w:rPr>
        <w:rFonts w:ascii="Arial" w:hAnsi="Arial" w:hint="default"/>
      </w:rPr>
    </w:lvl>
    <w:lvl w:ilvl="4" w:tplc="D3E222FA" w:tentative="1">
      <w:start w:val="1"/>
      <w:numFmt w:val="bullet"/>
      <w:lvlText w:val="–"/>
      <w:lvlJc w:val="left"/>
      <w:pPr>
        <w:tabs>
          <w:tab w:val="num" w:pos="3600"/>
        </w:tabs>
        <w:ind w:left="3600" w:hanging="360"/>
      </w:pPr>
      <w:rPr>
        <w:rFonts w:ascii="Arial" w:hAnsi="Arial" w:hint="default"/>
      </w:rPr>
    </w:lvl>
    <w:lvl w:ilvl="5" w:tplc="23B67214" w:tentative="1">
      <w:start w:val="1"/>
      <w:numFmt w:val="bullet"/>
      <w:lvlText w:val="–"/>
      <w:lvlJc w:val="left"/>
      <w:pPr>
        <w:tabs>
          <w:tab w:val="num" w:pos="4320"/>
        </w:tabs>
        <w:ind w:left="4320" w:hanging="360"/>
      </w:pPr>
      <w:rPr>
        <w:rFonts w:ascii="Arial" w:hAnsi="Arial" w:hint="default"/>
      </w:rPr>
    </w:lvl>
    <w:lvl w:ilvl="6" w:tplc="DB48D4D0" w:tentative="1">
      <w:start w:val="1"/>
      <w:numFmt w:val="bullet"/>
      <w:lvlText w:val="–"/>
      <w:lvlJc w:val="left"/>
      <w:pPr>
        <w:tabs>
          <w:tab w:val="num" w:pos="5040"/>
        </w:tabs>
        <w:ind w:left="5040" w:hanging="360"/>
      </w:pPr>
      <w:rPr>
        <w:rFonts w:ascii="Arial" w:hAnsi="Arial" w:hint="default"/>
      </w:rPr>
    </w:lvl>
    <w:lvl w:ilvl="7" w:tplc="B388F0FC" w:tentative="1">
      <w:start w:val="1"/>
      <w:numFmt w:val="bullet"/>
      <w:lvlText w:val="–"/>
      <w:lvlJc w:val="left"/>
      <w:pPr>
        <w:tabs>
          <w:tab w:val="num" w:pos="5760"/>
        </w:tabs>
        <w:ind w:left="5760" w:hanging="360"/>
      </w:pPr>
      <w:rPr>
        <w:rFonts w:ascii="Arial" w:hAnsi="Arial" w:hint="default"/>
      </w:rPr>
    </w:lvl>
    <w:lvl w:ilvl="8" w:tplc="774AF40C" w:tentative="1">
      <w:start w:val="1"/>
      <w:numFmt w:val="bullet"/>
      <w:lvlText w:val="–"/>
      <w:lvlJc w:val="left"/>
      <w:pPr>
        <w:tabs>
          <w:tab w:val="num" w:pos="6480"/>
        </w:tabs>
        <w:ind w:left="6480" w:hanging="360"/>
      </w:pPr>
      <w:rPr>
        <w:rFonts w:ascii="Arial" w:hAnsi="Arial" w:hint="default"/>
      </w:rPr>
    </w:lvl>
  </w:abstractNum>
  <w:abstractNum w:abstractNumId="25">
    <w:nsid w:val="4A044589"/>
    <w:multiLevelType w:val="hybridMultilevel"/>
    <w:tmpl w:val="A5BCBB86"/>
    <w:lvl w:ilvl="0" w:tplc="9E408C80">
      <w:start w:val="1"/>
      <w:numFmt w:val="bullet"/>
      <w:lvlText w:val="–"/>
      <w:lvlJc w:val="left"/>
      <w:pPr>
        <w:tabs>
          <w:tab w:val="num" w:pos="720"/>
        </w:tabs>
        <w:ind w:left="720" w:hanging="360"/>
      </w:pPr>
      <w:rPr>
        <w:rFonts w:ascii="Arial" w:hAnsi="Arial" w:hint="default"/>
      </w:rPr>
    </w:lvl>
    <w:lvl w:ilvl="1" w:tplc="A4EA0CE0">
      <w:start w:val="1"/>
      <w:numFmt w:val="bullet"/>
      <w:lvlText w:val="–"/>
      <w:lvlJc w:val="left"/>
      <w:pPr>
        <w:tabs>
          <w:tab w:val="num" w:pos="1440"/>
        </w:tabs>
        <w:ind w:left="1440" w:hanging="360"/>
      </w:pPr>
      <w:rPr>
        <w:rFonts w:ascii="Arial" w:hAnsi="Arial" w:hint="default"/>
      </w:rPr>
    </w:lvl>
    <w:lvl w:ilvl="2" w:tplc="470861DE">
      <w:numFmt w:val="bullet"/>
      <w:lvlText w:val="•"/>
      <w:lvlJc w:val="left"/>
      <w:pPr>
        <w:tabs>
          <w:tab w:val="num" w:pos="2160"/>
        </w:tabs>
        <w:ind w:left="2160" w:hanging="360"/>
      </w:pPr>
      <w:rPr>
        <w:rFonts w:ascii="Arial" w:hAnsi="Arial" w:hint="default"/>
      </w:rPr>
    </w:lvl>
    <w:lvl w:ilvl="3" w:tplc="0A56D166" w:tentative="1">
      <w:start w:val="1"/>
      <w:numFmt w:val="bullet"/>
      <w:lvlText w:val="–"/>
      <w:lvlJc w:val="left"/>
      <w:pPr>
        <w:tabs>
          <w:tab w:val="num" w:pos="2880"/>
        </w:tabs>
        <w:ind w:left="2880" w:hanging="360"/>
      </w:pPr>
      <w:rPr>
        <w:rFonts w:ascii="Arial" w:hAnsi="Arial" w:hint="default"/>
      </w:rPr>
    </w:lvl>
    <w:lvl w:ilvl="4" w:tplc="AEE8A390" w:tentative="1">
      <w:start w:val="1"/>
      <w:numFmt w:val="bullet"/>
      <w:lvlText w:val="–"/>
      <w:lvlJc w:val="left"/>
      <w:pPr>
        <w:tabs>
          <w:tab w:val="num" w:pos="3600"/>
        </w:tabs>
        <w:ind w:left="3600" w:hanging="360"/>
      </w:pPr>
      <w:rPr>
        <w:rFonts w:ascii="Arial" w:hAnsi="Arial" w:hint="default"/>
      </w:rPr>
    </w:lvl>
    <w:lvl w:ilvl="5" w:tplc="572A65FE" w:tentative="1">
      <w:start w:val="1"/>
      <w:numFmt w:val="bullet"/>
      <w:lvlText w:val="–"/>
      <w:lvlJc w:val="left"/>
      <w:pPr>
        <w:tabs>
          <w:tab w:val="num" w:pos="4320"/>
        </w:tabs>
        <w:ind w:left="4320" w:hanging="360"/>
      </w:pPr>
      <w:rPr>
        <w:rFonts w:ascii="Arial" w:hAnsi="Arial" w:hint="default"/>
      </w:rPr>
    </w:lvl>
    <w:lvl w:ilvl="6" w:tplc="520AA1AC" w:tentative="1">
      <w:start w:val="1"/>
      <w:numFmt w:val="bullet"/>
      <w:lvlText w:val="–"/>
      <w:lvlJc w:val="left"/>
      <w:pPr>
        <w:tabs>
          <w:tab w:val="num" w:pos="5040"/>
        </w:tabs>
        <w:ind w:left="5040" w:hanging="360"/>
      </w:pPr>
      <w:rPr>
        <w:rFonts w:ascii="Arial" w:hAnsi="Arial" w:hint="default"/>
      </w:rPr>
    </w:lvl>
    <w:lvl w:ilvl="7" w:tplc="D3A02312" w:tentative="1">
      <w:start w:val="1"/>
      <w:numFmt w:val="bullet"/>
      <w:lvlText w:val="–"/>
      <w:lvlJc w:val="left"/>
      <w:pPr>
        <w:tabs>
          <w:tab w:val="num" w:pos="5760"/>
        </w:tabs>
        <w:ind w:left="5760" w:hanging="360"/>
      </w:pPr>
      <w:rPr>
        <w:rFonts w:ascii="Arial" w:hAnsi="Arial" w:hint="default"/>
      </w:rPr>
    </w:lvl>
    <w:lvl w:ilvl="8" w:tplc="F1004522" w:tentative="1">
      <w:start w:val="1"/>
      <w:numFmt w:val="bullet"/>
      <w:lvlText w:val="–"/>
      <w:lvlJc w:val="left"/>
      <w:pPr>
        <w:tabs>
          <w:tab w:val="num" w:pos="6480"/>
        </w:tabs>
        <w:ind w:left="6480" w:hanging="360"/>
      </w:pPr>
      <w:rPr>
        <w:rFonts w:ascii="Arial" w:hAnsi="Arial" w:hint="default"/>
      </w:rPr>
    </w:lvl>
  </w:abstractNum>
  <w:abstractNum w:abstractNumId="26">
    <w:nsid w:val="4AB53FD9"/>
    <w:multiLevelType w:val="hybridMultilevel"/>
    <w:tmpl w:val="8894FF82"/>
    <w:lvl w:ilvl="0" w:tplc="F6D27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0A773A"/>
    <w:multiLevelType w:val="hybridMultilevel"/>
    <w:tmpl w:val="64F2213C"/>
    <w:lvl w:ilvl="0" w:tplc="75907300">
      <w:start w:val="1"/>
      <w:numFmt w:val="bullet"/>
      <w:lvlText w:val="•"/>
      <w:lvlJc w:val="left"/>
      <w:pPr>
        <w:tabs>
          <w:tab w:val="num" w:pos="720"/>
        </w:tabs>
        <w:ind w:left="720" w:hanging="360"/>
      </w:pPr>
      <w:rPr>
        <w:rFonts w:ascii="Arial" w:hAnsi="Arial" w:hint="default"/>
      </w:rPr>
    </w:lvl>
    <w:lvl w:ilvl="1" w:tplc="62B4263C">
      <w:numFmt w:val="bullet"/>
      <w:lvlText w:val="–"/>
      <w:lvlJc w:val="left"/>
      <w:pPr>
        <w:tabs>
          <w:tab w:val="num" w:pos="1440"/>
        </w:tabs>
        <w:ind w:left="1440" w:hanging="360"/>
      </w:pPr>
      <w:rPr>
        <w:rFonts w:ascii="Arial" w:hAnsi="Arial" w:hint="default"/>
      </w:rPr>
    </w:lvl>
    <w:lvl w:ilvl="2" w:tplc="54F0E752">
      <w:numFmt w:val="bullet"/>
      <w:lvlText w:val="•"/>
      <w:lvlJc w:val="left"/>
      <w:pPr>
        <w:tabs>
          <w:tab w:val="num" w:pos="2160"/>
        </w:tabs>
        <w:ind w:left="2160" w:hanging="360"/>
      </w:pPr>
      <w:rPr>
        <w:rFonts w:ascii="Arial" w:hAnsi="Arial" w:hint="default"/>
      </w:rPr>
    </w:lvl>
    <w:lvl w:ilvl="3" w:tplc="EADA6998" w:tentative="1">
      <w:start w:val="1"/>
      <w:numFmt w:val="bullet"/>
      <w:lvlText w:val="•"/>
      <w:lvlJc w:val="left"/>
      <w:pPr>
        <w:tabs>
          <w:tab w:val="num" w:pos="2880"/>
        </w:tabs>
        <w:ind w:left="2880" w:hanging="360"/>
      </w:pPr>
      <w:rPr>
        <w:rFonts w:ascii="Arial" w:hAnsi="Arial" w:hint="default"/>
      </w:rPr>
    </w:lvl>
    <w:lvl w:ilvl="4" w:tplc="79C639B6" w:tentative="1">
      <w:start w:val="1"/>
      <w:numFmt w:val="bullet"/>
      <w:lvlText w:val="•"/>
      <w:lvlJc w:val="left"/>
      <w:pPr>
        <w:tabs>
          <w:tab w:val="num" w:pos="3600"/>
        </w:tabs>
        <w:ind w:left="3600" w:hanging="360"/>
      </w:pPr>
      <w:rPr>
        <w:rFonts w:ascii="Arial" w:hAnsi="Arial" w:hint="default"/>
      </w:rPr>
    </w:lvl>
    <w:lvl w:ilvl="5" w:tplc="5F5A8E42" w:tentative="1">
      <w:start w:val="1"/>
      <w:numFmt w:val="bullet"/>
      <w:lvlText w:val="•"/>
      <w:lvlJc w:val="left"/>
      <w:pPr>
        <w:tabs>
          <w:tab w:val="num" w:pos="4320"/>
        </w:tabs>
        <w:ind w:left="4320" w:hanging="360"/>
      </w:pPr>
      <w:rPr>
        <w:rFonts w:ascii="Arial" w:hAnsi="Arial" w:hint="default"/>
      </w:rPr>
    </w:lvl>
    <w:lvl w:ilvl="6" w:tplc="1938BD12" w:tentative="1">
      <w:start w:val="1"/>
      <w:numFmt w:val="bullet"/>
      <w:lvlText w:val="•"/>
      <w:lvlJc w:val="left"/>
      <w:pPr>
        <w:tabs>
          <w:tab w:val="num" w:pos="5040"/>
        </w:tabs>
        <w:ind w:left="5040" w:hanging="360"/>
      </w:pPr>
      <w:rPr>
        <w:rFonts w:ascii="Arial" w:hAnsi="Arial" w:hint="default"/>
      </w:rPr>
    </w:lvl>
    <w:lvl w:ilvl="7" w:tplc="FA121AC0" w:tentative="1">
      <w:start w:val="1"/>
      <w:numFmt w:val="bullet"/>
      <w:lvlText w:val="•"/>
      <w:lvlJc w:val="left"/>
      <w:pPr>
        <w:tabs>
          <w:tab w:val="num" w:pos="5760"/>
        </w:tabs>
        <w:ind w:left="5760" w:hanging="360"/>
      </w:pPr>
      <w:rPr>
        <w:rFonts w:ascii="Arial" w:hAnsi="Arial" w:hint="default"/>
      </w:rPr>
    </w:lvl>
    <w:lvl w:ilvl="8" w:tplc="86829800" w:tentative="1">
      <w:start w:val="1"/>
      <w:numFmt w:val="bullet"/>
      <w:lvlText w:val="•"/>
      <w:lvlJc w:val="left"/>
      <w:pPr>
        <w:tabs>
          <w:tab w:val="num" w:pos="6480"/>
        </w:tabs>
        <w:ind w:left="6480" w:hanging="360"/>
      </w:pPr>
      <w:rPr>
        <w:rFonts w:ascii="Arial" w:hAnsi="Arial" w:hint="default"/>
      </w:rPr>
    </w:lvl>
  </w:abstractNum>
  <w:abstractNum w:abstractNumId="28">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9">
    <w:nsid w:val="548D7CFC"/>
    <w:multiLevelType w:val="hybridMultilevel"/>
    <w:tmpl w:val="479C9AE8"/>
    <w:lvl w:ilvl="0" w:tplc="F6D27E52">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3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9097ECB"/>
    <w:multiLevelType w:val="hybridMultilevel"/>
    <w:tmpl w:val="31585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F520F9"/>
    <w:multiLevelType w:val="hybridMultilevel"/>
    <w:tmpl w:val="B85C351E"/>
    <w:lvl w:ilvl="0" w:tplc="65585EC2">
      <w:start w:val="1"/>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C852023"/>
    <w:multiLevelType w:val="hybridMultilevel"/>
    <w:tmpl w:val="123CF762"/>
    <w:lvl w:ilvl="0" w:tplc="16505EB4">
      <w:start w:val="1"/>
      <w:numFmt w:val="bullet"/>
      <w:lvlText w:val="•"/>
      <w:lvlJc w:val="left"/>
      <w:pPr>
        <w:tabs>
          <w:tab w:val="num" w:pos="360"/>
        </w:tabs>
        <w:ind w:left="360" w:hanging="360"/>
      </w:pPr>
      <w:rPr>
        <w:rFonts w:ascii="Arial" w:hAnsi="Arial" w:hint="default"/>
      </w:rPr>
    </w:lvl>
    <w:lvl w:ilvl="1" w:tplc="81FAD95A">
      <w:start w:val="4383"/>
      <w:numFmt w:val="bullet"/>
      <w:lvlText w:val="–"/>
      <w:lvlJc w:val="left"/>
      <w:pPr>
        <w:tabs>
          <w:tab w:val="num" w:pos="1080"/>
        </w:tabs>
        <w:ind w:left="1080" w:hanging="360"/>
      </w:pPr>
      <w:rPr>
        <w:rFonts w:ascii="Arial" w:hAnsi="Arial" w:hint="default"/>
      </w:rPr>
    </w:lvl>
    <w:lvl w:ilvl="2" w:tplc="CB96B422">
      <w:start w:val="4383"/>
      <w:numFmt w:val="bullet"/>
      <w:lvlText w:val="•"/>
      <w:lvlJc w:val="left"/>
      <w:pPr>
        <w:tabs>
          <w:tab w:val="num" w:pos="1800"/>
        </w:tabs>
        <w:ind w:left="1800" w:hanging="360"/>
      </w:pPr>
      <w:rPr>
        <w:rFonts w:ascii="Arial" w:hAnsi="Arial" w:hint="default"/>
      </w:rPr>
    </w:lvl>
    <w:lvl w:ilvl="3" w:tplc="112C00DA" w:tentative="1">
      <w:start w:val="1"/>
      <w:numFmt w:val="bullet"/>
      <w:lvlText w:val="•"/>
      <w:lvlJc w:val="left"/>
      <w:pPr>
        <w:tabs>
          <w:tab w:val="num" w:pos="2520"/>
        </w:tabs>
        <w:ind w:left="2520" w:hanging="360"/>
      </w:pPr>
      <w:rPr>
        <w:rFonts w:ascii="Arial" w:hAnsi="Arial" w:hint="default"/>
      </w:rPr>
    </w:lvl>
    <w:lvl w:ilvl="4" w:tplc="25A47758" w:tentative="1">
      <w:start w:val="1"/>
      <w:numFmt w:val="bullet"/>
      <w:lvlText w:val="•"/>
      <w:lvlJc w:val="left"/>
      <w:pPr>
        <w:tabs>
          <w:tab w:val="num" w:pos="3240"/>
        </w:tabs>
        <w:ind w:left="3240" w:hanging="360"/>
      </w:pPr>
      <w:rPr>
        <w:rFonts w:ascii="Arial" w:hAnsi="Arial" w:hint="default"/>
      </w:rPr>
    </w:lvl>
    <w:lvl w:ilvl="5" w:tplc="09E01B8E" w:tentative="1">
      <w:start w:val="1"/>
      <w:numFmt w:val="bullet"/>
      <w:lvlText w:val="•"/>
      <w:lvlJc w:val="left"/>
      <w:pPr>
        <w:tabs>
          <w:tab w:val="num" w:pos="3960"/>
        </w:tabs>
        <w:ind w:left="3960" w:hanging="360"/>
      </w:pPr>
      <w:rPr>
        <w:rFonts w:ascii="Arial" w:hAnsi="Arial" w:hint="default"/>
      </w:rPr>
    </w:lvl>
    <w:lvl w:ilvl="6" w:tplc="5EA665AA" w:tentative="1">
      <w:start w:val="1"/>
      <w:numFmt w:val="bullet"/>
      <w:lvlText w:val="•"/>
      <w:lvlJc w:val="left"/>
      <w:pPr>
        <w:tabs>
          <w:tab w:val="num" w:pos="4680"/>
        </w:tabs>
        <w:ind w:left="4680" w:hanging="360"/>
      </w:pPr>
      <w:rPr>
        <w:rFonts w:ascii="Arial" w:hAnsi="Arial" w:hint="default"/>
      </w:rPr>
    </w:lvl>
    <w:lvl w:ilvl="7" w:tplc="9A1E213E" w:tentative="1">
      <w:start w:val="1"/>
      <w:numFmt w:val="bullet"/>
      <w:lvlText w:val="•"/>
      <w:lvlJc w:val="left"/>
      <w:pPr>
        <w:tabs>
          <w:tab w:val="num" w:pos="5400"/>
        </w:tabs>
        <w:ind w:left="5400" w:hanging="360"/>
      </w:pPr>
      <w:rPr>
        <w:rFonts w:ascii="Arial" w:hAnsi="Arial" w:hint="default"/>
      </w:rPr>
    </w:lvl>
    <w:lvl w:ilvl="8" w:tplc="C41039C0" w:tentative="1">
      <w:start w:val="1"/>
      <w:numFmt w:val="bullet"/>
      <w:lvlText w:val="•"/>
      <w:lvlJc w:val="left"/>
      <w:pPr>
        <w:tabs>
          <w:tab w:val="num" w:pos="6120"/>
        </w:tabs>
        <w:ind w:left="6120" w:hanging="360"/>
      </w:pPr>
      <w:rPr>
        <w:rFonts w:ascii="Arial" w:hAnsi="Arial" w:hint="default"/>
      </w:rPr>
    </w:lvl>
  </w:abstractNum>
  <w:abstractNum w:abstractNumId="35">
    <w:nsid w:val="61A41226"/>
    <w:multiLevelType w:val="hybridMultilevel"/>
    <w:tmpl w:val="D4C411B4"/>
    <w:lvl w:ilvl="0" w:tplc="8EA6E972">
      <w:start w:val="1"/>
      <w:numFmt w:val="bullet"/>
      <w:lvlText w:val="•"/>
      <w:lvlJc w:val="left"/>
      <w:pPr>
        <w:tabs>
          <w:tab w:val="num" w:pos="360"/>
        </w:tabs>
        <w:ind w:left="360" w:hanging="360"/>
      </w:pPr>
      <w:rPr>
        <w:rFonts w:ascii="Arial" w:hAnsi="Arial" w:hint="default"/>
      </w:rPr>
    </w:lvl>
    <w:lvl w:ilvl="1" w:tplc="44E20C5E">
      <w:numFmt w:val="bullet"/>
      <w:lvlText w:val="–"/>
      <w:lvlJc w:val="left"/>
      <w:pPr>
        <w:tabs>
          <w:tab w:val="num" w:pos="1080"/>
        </w:tabs>
        <w:ind w:left="1080" w:hanging="360"/>
      </w:pPr>
      <w:rPr>
        <w:rFonts w:ascii="Arial" w:hAnsi="Arial" w:hint="default"/>
      </w:rPr>
    </w:lvl>
    <w:lvl w:ilvl="2" w:tplc="D2EC44EC">
      <w:numFmt w:val="bullet"/>
      <w:lvlText w:val="•"/>
      <w:lvlJc w:val="left"/>
      <w:pPr>
        <w:tabs>
          <w:tab w:val="num" w:pos="1800"/>
        </w:tabs>
        <w:ind w:left="1800" w:hanging="360"/>
      </w:pPr>
      <w:rPr>
        <w:rFonts w:ascii="Arial" w:hAnsi="Arial" w:hint="default"/>
      </w:rPr>
    </w:lvl>
    <w:lvl w:ilvl="3" w:tplc="70AE411A">
      <w:numFmt w:val="bullet"/>
      <w:lvlText w:val="–"/>
      <w:lvlJc w:val="left"/>
      <w:pPr>
        <w:tabs>
          <w:tab w:val="num" w:pos="2520"/>
        </w:tabs>
        <w:ind w:left="2520" w:hanging="360"/>
      </w:pPr>
      <w:rPr>
        <w:rFonts w:ascii="Arial" w:hAnsi="Arial" w:hint="default"/>
      </w:rPr>
    </w:lvl>
    <w:lvl w:ilvl="4" w:tplc="FB3CD17E" w:tentative="1">
      <w:start w:val="1"/>
      <w:numFmt w:val="bullet"/>
      <w:lvlText w:val="•"/>
      <w:lvlJc w:val="left"/>
      <w:pPr>
        <w:tabs>
          <w:tab w:val="num" w:pos="3240"/>
        </w:tabs>
        <w:ind w:left="3240" w:hanging="360"/>
      </w:pPr>
      <w:rPr>
        <w:rFonts w:ascii="Arial" w:hAnsi="Arial" w:hint="default"/>
      </w:rPr>
    </w:lvl>
    <w:lvl w:ilvl="5" w:tplc="5D667C7A" w:tentative="1">
      <w:start w:val="1"/>
      <w:numFmt w:val="bullet"/>
      <w:lvlText w:val="•"/>
      <w:lvlJc w:val="left"/>
      <w:pPr>
        <w:tabs>
          <w:tab w:val="num" w:pos="3960"/>
        </w:tabs>
        <w:ind w:left="3960" w:hanging="360"/>
      </w:pPr>
      <w:rPr>
        <w:rFonts w:ascii="Arial" w:hAnsi="Arial" w:hint="default"/>
      </w:rPr>
    </w:lvl>
    <w:lvl w:ilvl="6" w:tplc="D1FC5114" w:tentative="1">
      <w:start w:val="1"/>
      <w:numFmt w:val="bullet"/>
      <w:lvlText w:val="•"/>
      <w:lvlJc w:val="left"/>
      <w:pPr>
        <w:tabs>
          <w:tab w:val="num" w:pos="4680"/>
        </w:tabs>
        <w:ind w:left="4680" w:hanging="360"/>
      </w:pPr>
      <w:rPr>
        <w:rFonts w:ascii="Arial" w:hAnsi="Arial" w:hint="default"/>
      </w:rPr>
    </w:lvl>
    <w:lvl w:ilvl="7" w:tplc="D082B1C2" w:tentative="1">
      <w:start w:val="1"/>
      <w:numFmt w:val="bullet"/>
      <w:lvlText w:val="•"/>
      <w:lvlJc w:val="left"/>
      <w:pPr>
        <w:tabs>
          <w:tab w:val="num" w:pos="5400"/>
        </w:tabs>
        <w:ind w:left="5400" w:hanging="360"/>
      </w:pPr>
      <w:rPr>
        <w:rFonts w:ascii="Arial" w:hAnsi="Arial" w:hint="default"/>
      </w:rPr>
    </w:lvl>
    <w:lvl w:ilvl="8" w:tplc="10BA2C2A" w:tentative="1">
      <w:start w:val="1"/>
      <w:numFmt w:val="bullet"/>
      <w:lvlText w:val="•"/>
      <w:lvlJc w:val="left"/>
      <w:pPr>
        <w:tabs>
          <w:tab w:val="num" w:pos="6120"/>
        </w:tabs>
        <w:ind w:left="6120" w:hanging="360"/>
      </w:pPr>
      <w:rPr>
        <w:rFonts w:ascii="Arial" w:hAnsi="Arial" w:hint="default"/>
      </w:rPr>
    </w:lvl>
  </w:abstractNum>
  <w:abstractNum w:abstractNumId="36">
    <w:nsid w:val="63074C39"/>
    <w:multiLevelType w:val="hybridMultilevel"/>
    <w:tmpl w:val="5912943C"/>
    <w:lvl w:ilvl="0" w:tplc="EADCA5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963545"/>
    <w:multiLevelType w:val="hybridMultilevel"/>
    <w:tmpl w:val="B13E1FF6"/>
    <w:lvl w:ilvl="0" w:tplc="A2F4D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8902AF5"/>
    <w:multiLevelType w:val="hybridMultilevel"/>
    <w:tmpl w:val="89867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D1128A"/>
    <w:multiLevelType w:val="hybridMultilevel"/>
    <w:tmpl w:val="C8841032"/>
    <w:lvl w:ilvl="0" w:tplc="A2ECA1AE">
      <w:start w:val="1"/>
      <w:numFmt w:val="bullet"/>
      <w:lvlText w:val="•"/>
      <w:lvlJc w:val="left"/>
      <w:pPr>
        <w:tabs>
          <w:tab w:val="num" w:pos="720"/>
        </w:tabs>
        <w:ind w:left="720" w:hanging="360"/>
      </w:pPr>
      <w:rPr>
        <w:rFonts w:ascii="Arial" w:hAnsi="Arial" w:hint="default"/>
      </w:rPr>
    </w:lvl>
    <w:lvl w:ilvl="1" w:tplc="0AAA64AE" w:tentative="1">
      <w:start w:val="1"/>
      <w:numFmt w:val="bullet"/>
      <w:lvlText w:val="•"/>
      <w:lvlJc w:val="left"/>
      <w:pPr>
        <w:tabs>
          <w:tab w:val="num" w:pos="1440"/>
        </w:tabs>
        <w:ind w:left="1440" w:hanging="360"/>
      </w:pPr>
      <w:rPr>
        <w:rFonts w:ascii="Arial" w:hAnsi="Arial" w:hint="default"/>
      </w:rPr>
    </w:lvl>
    <w:lvl w:ilvl="2" w:tplc="C052B512">
      <w:start w:val="1"/>
      <w:numFmt w:val="bullet"/>
      <w:lvlText w:val="•"/>
      <w:lvlJc w:val="left"/>
      <w:pPr>
        <w:tabs>
          <w:tab w:val="num" w:pos="2160"/>
        </w:tabs>
        <w:ind w:left="2160" w:hanging="360"/>
      </w:pPr>
      <w:rPr>
        <w:rFonts w:ascii="Arial" w:hAnsi="Arial" w:hint="default"/>
      </w:rPr>
    </w:lvl>
    <w:lvl w:ilvl="3" w:tplc="1FEAE04A" w:tentative="1">
      <w:start w:val="1"/>
      <w:numFmt w:val="bullet"/>
      <w:lvlText w:val="•"/>
      <w:lvlJc w:val="left"/>
      <w:pPr>
        <w:tabs>
          <w:tab w:val="num" w:pos="2880"/>
        </w:tabs>
        <w:ind w:left="2880" w:hanging="360"/>
      </w:pPr>
      <w:rPr>
        <w:rFonts w:ascii="Arial" w:hAnsi="Arial" w:hint="default"/>
      </w:rPr>
    </w:lvl>
    <w:lvl w:ilvl="4" w:tplc="13180180" w:tentative="1">
      <w:start w:val="1"/>
      <w:numFmt w:val="bullet"/>
      <w:lvlText w:val="•"/>
      <w:lvlJc w:val="left"/>
      <w:pPr>
        <w:tabs>
          <w:tab w:val="num" w:pos="3600"/>
        </w:tabs>
        <w:ind w:left="3600" w:hanging="360"/>
      </w:pPr>
      <w:rPr>
        <w:rFonts w:ascii="Arial" w:hAnsi="Arial" w:hint="default"/>
      </w:rPr>
    </w:lvl>
    <w:lvl w:ilvl="5" w:tplc="E06E5B26" w:tentative="1">
      <w:start w:val="1"/>
      <w:numFmt w:val="bullet"/>
      <w:lvlText w:val="•"/>
      <w:lvlJc w:val="left"/>
      <w:pPr>
        <w:tabs>
          <w:tab w:val="num" w:pos="4320"/>
        </w:tabs>
        <w:ind w:left="4320" w:hanging="360"/>
      </w:pPr>
      <w:rPr>
        <w:rFonts w:ascii="Arial" w:hAnsi="Arial" w:hint="default"/>
      </w:rPr>
    </w:lvl>
    <w:lvl w:ilvl="6" w:tplc="2258E608" w:tentative="1">
      <w:start w:val="1"/>
      <w:numFmt w:val="bullet"/>
      <w:lvlText w:val="•"/>
      <w:lvlJc w:val="left"/>
      <w:pPr>
        <w:tabs>
          <w:tab w:val="num" w:pos="5040"/>
        </w:tabs>
        <w:ind w:left="5040" w:hanging="360"/>
      </w:pPr>
      <w:rPr>
        <w:rFonts w:ascii="Arial" w:hAnsi="Arial" w:hint="default"/>
      </w:rPr>
    </w:lvl>
    <w:lvl w:ilvl="7" w:tplc="41CC9A76" w:tentative="1">
      <w:start w:val="1"/>
      <w:numFmt w:val="bullet"/>
      <w:lvlText w:val="•"/>
      <w:lvlJc w:val="left"/>
      <w:pPr>
        <w:tabs>
          <w:tab w:val="num" w:pos="5760"/>
        </w:tabs>
        <w:ind w:left="5760" w:hanging="360"/>
      </w:pPr>
      <w:rPr>
        <w:rFonts w:ascii="Arial" w:hAnsi="Arial" w:hint="default"/>
      </w:rPr>
    </w:lvl>
    <w:lvl w:ilvl="8" w:tplc="20C6ADA4" w:tentative="1">
      <w:start w:val="1"/>
      <w:numFmt w:val="bullet"/>
      <w:lvlText w:val="•"/>
      <w:lvlJc w:val="left"/>
      <w:pPr>
        <w:tabs>
          <w:tab w:val="num" w:pos="6480"/>
        </w:tabs>
        <w:ind w:left="6480" w:hanging="360"/>
      </w:pPr>
      <w:rPr>
        <w:rFonts w:ascii="Arial" w:hAnsi="Arial" w:hint="default"/>
      </w:rPr>
    </w:lvl>
  </w:abstractNum>
  <w:abstractNum w:abstractNumId="40">
    <w:nsid w:val="6E212F28"/>
    <w:multiLevelType w:val="hybridMultilevel"/>
    <w:tmpl w:val="795E8DC6"/>
    <w:lvl w:ilvl="0" w:tplc="0A165F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nsid w:val="797020E9"/>
    <w:multiLevelType w:val="hybridMultilevel"/>
    <w:tmpl w:val="5912943C"/>
    <w:lvl w:ilvl="0" w:tplc="EADCA5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2520E0"/>
    <w:multiLevelType w:val="hybridMultilevel"/>
    <w:tmpl w:val="E6A4A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E74CA8"/>
    <w:multiLevelType w:val="hybridMultilevel"/>
    <w:tmpl w:val="36A0FDF4"/>
    <w:lvl w:ilvl="0" w:tplc="A2F4D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num w:numId="1">
    <w:abstractNumId w:val="8"/>
  </w:num>
  <w:num w:numId="2">
    <w:abstractNumId w:val="19"/>
  </w:num>
  <w:num w:numId="3">
    <w:abstractNumId w:val="31"/>
  </w:num>
  <w:num w:numId="4">
    <w:abstractNumId w:val="41"/>
  </w:num>
  <w:num w:numId="5">
    <w:abstractNumId w:val="21"/>
  </w:num>
  <w:num w:numId="6">
    <w:abstractNumId w:val="20"/>
  </w:num>
  <w:num w:numId="7">
    <w:abstractNumId w:val="10"/>
  </w:num>
  <w:num w:numId="8">
    <w:abstractNumId w:val="12"/>
  </w:num>
  <w:num w:numId="9">
    <w:abstractNumId w:val="5"/>
  </w:num>
  <w:num w:numId="1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3"/>
  </w:num>
  <w:num w:numId="13">
    <w:abstractNumId w:val="42"/>
  </w:num>
  <w:num w:numId="14">
    <w:abstractNumId w:val="36"/>
  </w:num>
  <w:num w:numId="15">
    <w:abstractNumId w:val="24"/>
  </w:num>
  <w:num w:numId="16">
    <w:abstractNumId w:val="2"/>
  </w:num>
  <w:num w:numId="17">
    <w:abstractNumId w:val="23"/>
  </w:num>
  <w:num w:numId="18">
    <w:abstractNumId w:val="22"/>
  </w:num>
  <w:num w:numId="19">
    <w:abstractNumId w:val="11"/>
  </w:num>
  <w:num w:numId="20">
    <w:abstractNumId w:val="16"/>
  </w:num>
  <w:num w:numId="21">
    <w:abstractNumId w:val="9"/>
  </w:num>
  <w:num w:numId="22">
    <w:abstractNumId w:val="13"/>
  </w:num>
  <w:num w:numId="23">
    <w:abstractNumId w:val="34"/>
  </w:num>
  <w:num w:numId="24">
    <w:abstractNumId w:val="43"/>
  </w:num>
  <w:num w:numId="25">
    <w:abstractNumId w:val="26"/>
  </w:num>
  <w:num w:numId="26">
    <w:abstractNumId w:val="29"/>
  </w:num>
  <w:num w:numId="27">
    <w:abstractNumId w:val="15"/>
  </w:num>
  <w:num w:numId="28">
    <w:abstractNumId w:val="27"/>
  </w:num>
  <w:num w:numId="29">
    <w:abstractNumId w:val="0"/>
  </w:num>
  <w:num w:numId="30">
    <w:abstractNumId w:val="25"/>
  </w:num>
  <w:num w:numId="31">
    <w:abstractNumId w:val="18"/>
  </w:num>
  <w:num w:numId="32">
    <w:abstractNumId w:val="1"/>
  </w:num>
  <w:num w:numId="33">
    <w:abstractNumId w:val="6"/>
  </w:num>
  <w:num w:numId="34">
    <w:abstractNumId w:val="8"/>
  </w:num>
  <w:num w:numId="35">
    <w:abstractNumId w:val="4"/>
  </w:num>
  <w:num w:numId="36">
    <w:abstractNumId w:val="38"/>
  </w:num>
  <w:num w:numId="37">
    <w:abstractNumId w:val="3"/>
  </w:num>
  <w:num w:numId="38">
    <w:abstractNumId w:val="14"/>
  </w:num>
  <w:num w:numId="39">
    <w:abstractNumId w:val="39"/>
  </w:num>
  <w:num w:numId="40">
    <w:abstractNumId w:val="32"/>
  </w:num>
  <w:num w:numId="41">
    <w:abstractNumId w:val="7"/>
  </w:num>
  <w:num w:numId="42">
    <w:abstractNumId w:val="35"/>
  </w:num>
  <w:num w:numId="43">
    <w:abstractNumId w:val="30"/>
  </w:num>
  <w:num w:numId="44">
    <w:abstractNumId w:val="28"/>
  </w:num>
  <w:num w:numId="45">
    <w:abstractNumId w:val="40"/>
  </w:num>
  <w:num w:numId="46">
    <w:abstractNumId w:val="37"/>
  </w:num>
  <w:num w:numId="47">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16D0"/>
    <w:rsid w:val="00001C76"/>
    <w:rsid w:val="00001D65"/>
    <w:rsid w:val="000020C0"/>
    <w:rsid w:val="00002A92"/>
    <w:rsid w:val="00002C2A"/>
    <w:rsid w:val="00002CB6"/>
    <w:rsid w:val="000033A8"/>
    <w:rsid w:val="00004076"/>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47E"/>
    <w:rsid w:val="0001458C"/>
    <w:rsid w:val="00014897"/>
    <w:rsid w:val="00014957"/>
    <w:rsid w:val="0001573B"/>
    <w:rsid w:val="000167DF"/>
    <w:rsid w:val="0001695D"/>
    <w:rsid w:val="000172F4"/>
    <w:rsid w:val="0002038B"/>
    <w:rsid w:val="00020697"/>
    <w:rsid w:val="000210FF"/>
    <w:rsid w:val="000218C6"/>
    <w:rsid w:val="00021CA4"/>
    <w:rsid w:val="00022194"/>
    <w:rsid w:val="00022496"/>
    <w:rsid w:val="00022677"/>
    <w:rsid w:val="00022C4C"/>
    <w:rsid w:val="00022E33"/>
    <w:rsid w:val="0002333A"/>
    <w:rsid w:val="00023539"/>
    <w:rsid w:val="00027A22"/>
    <w:rsid w:val="00027CF4"/>
    <w:rsid w:val="00030571"/>
    <w:rsid w:val="00030715"/>
    <w:rsid w:val="00030B6F"/>
    <w:rsid w:val="00030EA8"/>
    <w:rsid w:val="00031159"/>
    <w:rsid w:val="0003172D"/>
    <w:rsid w:val="0003271D"/>
    <w:rsid w:val="00032854"/>
    <w:rsid w:val="00033D4F"/>
    <w:rsid w:val="000359C4"/>
    <w:rsid w:val="000375ED"/>
    <w:rsid w:val="00040D18"/>
    <w:rsid w:val="0004152C"/>
    <w:rsid w:val="0004205B"/>
    <w:rsid w:val="00042A5E"/>
    <w:rsid w:val="00043AFE"/>
    <w:rsid w:val="00043F06"/>
    <w:rsid w:val="0004432A"/>
    <w:rsid w:val="00044E1D"/>
    <w:rsid w:val="00045082"/>
    <w:rsid w:val="00045AD2"/>
    <w:rsid w:val="00046AB8"/>
    <w:rsid w:val="00046EDE"/>
    <w:rsid w:val="00047BCA"/>
    <w:rsid w:val="0005019A"/>
    <w:rsid w:val="00051AFF"/>
    <w:rsid w:val="00052776"/>
    <w:rsid w:val="000529FF"/>
    <w:rsid w:val="000530AE"/>
    <w:rsid w:val="00053132"/>
    <w:rsid w:val="000532EA"/>
    <w:rsid w:val="00053633"/>
    <w:rsid w:val="00053930"/>
    <w:rsid w:val="00053B09"/>
    <w:rsid w:val="000543C0"/>
    <w:rsid w:val="00054AE1"/>
    <w:rsid w:val="000551A1"/>
    <w:rsid w:val="00055312"/>
    <w:rsid w:val="00055AB3"/>
    <w:rsid w:val="00055E7D"/>
    <w:rsid w:val="00055EC9"/>
    <w:rsid w:val="000562C8"/>
    <w:rsid w:val="00056B06"/>
    <w:rsid w:val="00057250"/>
    <w:rsid w:val="0005738A"/>
    <w:rsid w:val="000575C1"/>
    <w:rsid w:val="00057853"/>
    <w:rsid w:val="00057CB5"/>
    <w:rsid w:val="00060151"/>
    <w:rsid w:val="00060B1D"/>
    <w:rsid w:val="000620CD"/>
    <w:rsid w:val="0006267E"/>
    <w:rsid w:val="00062716"/>
    <w:rsid w:val="000627C6"/>
    <w:rsid w:val="00063081"/>
    <w:rsid w:val="0006319F"/>
    <w:rsid w:val="00063AC6"/>
    <w:rsid w:val="00063BD1"/>
    <w:rsid w:val="00064C65"/>
    <w:rsid w:val="00065630"/>
    <w:rsid w:val="00065C00"/>
    <w:rsid w:val="00066E68"/>
    <w:rsid w:val="000675E8"/>
    <w:rsid w:val="0007119C"/>
    <w:rsid w:val="00072453"/>
    <w:rsid w:val="00072501"/>
    <w:rsid w:val="00072C1F"/>
    <w:rsid w:val="00073C42"/>
    <w:rsid w:val="00073E25"/>
    <w:rsid w:val="000755B5"/>
    <w:rsid w:val="0007567D"/>
    <w:rsid w:val="0007650C"/>
    <w:rsid w:val="00076C44"/>
    <w:rsid w:val="00076E3C"/>
    <w:rsid w:val="00076FF5"/>
    <w:rsid w:val="00077204"/>
    <w:rsid w:val="000775AB"/>
    <w:rsid w:val="00077C1B"/>
    <w:rsid w:val="00080649"/>
    <w:rsid w:val="00080921"/>
    <w:rsid w:val="000817D8"/>
    <w:rsid w:val="000830B5"/>
    <w:rsid w:val="00083457"/>
    <w:rsid w:val="00083849"/>
    <w:rsid w:val="00083DE3"/>
    <w:rsid w:val="0008519B"/>
    <w:rsid w:val="000862ED"/>
    <w:rsid w:val="00086364"/>
    <w:rsid w:val="00086A31"/>
    <w:rsid w:val="00086C42"/>
    <w:rsid w:val="00086FAA"/>
    <w:rsid w:val="00087EEE"/>
    <w:rsid w:val="00087F06"/>
    <w:rsid w:val="000902E8"/>
    <w:rsid w:val="00090A57"/>
    <w:rsid w:val="00091C52"/>
    <w:rsid w:val="00092123"/>
    <w:rsid w:val="00092290"/>
    <w:rsid w:val="000934B6"/>
    <w:rsid w:val="000935E0"/>
    <w:rsid w:val="000948FB"/>
    <w:rsid w:val="00094B22"/>
    <w:rsid w:val="00096D28"/>
    <w:rsid w:val="0009739B"/>
    <w:rsid w:val="000A0C86"/>
    <w:rsid w:val="000A0FAC"/>
    <w:rsid w:val="000A1D31"/>
    <w:rsid w:val="000A26F4"/>
    <w:rsid w:val="000A2D74"/>
    <w:rsid w:val="000A4785"/>
    <w:rsid w:val="000A5315"/>
    <w:rsid w:val="000A591F"/>
    <w:rsid w:val="000A6336"/>
    <w:rsid w:val="000A77A6"/>
    <w:rsid w:val="000B0B99"/>
    <w:rsid w:val="000B1FCD"/>
    <w:rsid w:val="000B25B1"/>
    <w:rsid w:val="000B264D"/>
    <w:rsid w:val="000B2B68"/>
    <w:rsid w:val="000B32FD"/>
    <w:rsid w:val="000B3369"/>
    <w:rsid w:val="000B3F37"/>
    <w:rsid w:val="000B4FD7"/>
    <w:rsid w:val="000B556F"/>
    <w:rsid w:val="000B5609"/>
    <w:rsid w:val="000B56DE"/>
    <w:rsid w:val="000B6724"/>
    <w:rsid w:val="000B7E76"/>
    <w:rsid w:val="000C074E"/>
    <w:rsid w:val="000C0F99"/>
    <w:rsid w:val="000C14C1"/>
    <w:rsid w:val="000C2638"/>
    <w:rsid w:val="000C2DAC"/>
    <w:rsid w:val="000C3A4B"/>
    <w:rsid w:val="000C4D4D"/>
    <w:rsid w:val="000C56CE"/>
    <w:rsid w:val="000C650F"/>
    <w:rsid w:val="000C678E"/>
    <w:rsid w:val="000C70DF"/>
    <w:rsid w:val="000C7D54"/>
    <w:rsid w:val="000D00DD"/>
    <w:rsid w:val="000D101D"/>
    <w:rsid w:val="000D1026"/>
    <w:rsid w:val="000D10FF"/>
    <w:rsid w:val="000D1645"/>
    <w:rsid w:val="000D19F4"/>
    <w:rsid w:val="000D1CB9"/>
    <w:rsid w:val="000D1F27"/>
    <w:rsid w:val="000D1F29"/>
    <w:rsid w:val="000D25AC"/>
    <w:rsid w:val="000D2808"/>
    <w:rsid w:val="000D435D"/>
    <w:rsid w:val="000D4680"/>
    <w:rsid w:val="000D4806"/>
    <w:rsid w:val="000D5200"/>
    <w:rsid w:val="000D6048"/>
    <w:rsid w:val="000D758A"/>
    <w:rsid w:val="000D77B5"/>
    <w:rsid w:val="000E0E6E"/>
    <w:rsid w:val="000E1471"/>
    <w:rsid w:val="000E1AF3"/>
    <w:rsid w:val="000E2201"/>
    <w:rsid w:val="000E2DC6"/>
    <w:rsid w:val="000E34D6"/>
    <w:rsid w:val="000E35B3"/>
    <w:rsid w:val="000E4584"/>
    <w:rsid w:val="000E48A4"/>
    <w:rsid w:val="000E512F"/>
    <w:rsid w:val="000E58A0"/>
    <w:rsid w:val="000E6539"/>
    <w:rsid w:val="000E7166"/>
    <w:rsid w:val="000F021D"/>
    <w:rsid w:val="000F0D83"/>
    <w:rsid w:val="000F0DFC"/>
    <w:rsid w:val="000F28A5"/>
    <w:rsid w:val="000F2916"/>
    <w:rsid w:val="000F3287"/>
    <w:rsid w:val="000F33BD"/>
    <w:rsid w:val="000F3AB3"/>
    <w:rsid w:val="000F4080"/>
    <w:rsid w:val="000F433B"/>
    <w:rsid w:val="000F5574"/>
    <w:rsid w:val="000F5D7C"/>
    <w:rsid w:val="000F60C9"/>
    <w:rsid w:val="000F762B"/>
    <w:rsid w:val="000F7941"/>
    <w:rsid w:val="000F7A66"/>
    <w:rsid w:val="00100CCE"/>
    <w:rsid w:val="0010112F"/>
    <w:rsid w:val="00101AC6"/>
    <w:rsid w:val="00101FE9"/>
    <w:rsid w:val="00102506"/>
    <w:rsid w:val="00102E1E"/>
    <w:rsid w:val="001038BF"/>
    <w:rsid w:val="00103FB1"/>
    <w:rsid w:val="00104BD6"/>
    <w:rsid w:val="00106085"/>
    <w:rsid w:val="001067FF"/>
    <w:rsid w:val="00106E00"/>
    <w:rsid w:val="00106F9A"/>
    <w:rsid w:val="001076A6"/>
    <w:rsid w:val="001078D6"/>
    <w:rsid w:val="00107C3A"/>
    <w:rsid w:val="00110710"/>
    <w:rsid w:val="001111C4"/>
    <w:rsid w:val="00111454"/>
    <w:rsid w:val="00112333"/>
    <w:rsid w:val="00112A63"/>
    <w:rsid w:val="00112A78"/>
    <w:rsid w:val="00114203"/>
    <w:rsid w:val="00114A88"/>
    <w:rsid w:val="00114EB4"/>
    <w:rsid w:val="00114EDB"/>
    <w:rsid w:val="00114F39"/>
    <w:rsid w:val="00115091"/>
    <w:rsid w:val="001155B8"/>
    <w:rsid w:val="001159AD"/>
    <w:rsid w:val="00115AB2"/>
    <w:rsid w:val="001161C9"/>
    <w:rsid w:val="0011739B"/>
    <w:rsid w:val="00117B15"/>
    <w:rsid w:val="00117D32"/>
    <w:rsid w:val="00120B93"/>
    <w:rsid w:val="00121508"/>
    <w:rsid w:val="0012156A"/>
    <w:rsid w:val="001219C2"/>
    <w:rsid w:val="00121AC2"/>
    <w:rsid w:val="0012303A"/>
    <w:rsid w:val="00123B51"/>
    <w:rsid w:val="00125FEB"/>
    <w:rsid w:val="001262FC"/>
    <w:rsid w:val="00126C08"/>
    <w:rsid w:val="00127AD3"/>
    <w:rsid w:val="0013023F"/>
    <w:rsid w:val="0013041F"/>
    <w:rsid w:val="00130A5C"/>
    <w:rsid w:val="00131748"/>
    <w:rsid w:val="00131D8C"/>
    <w:rsid w:val="00132CCB"/>
    <w:rsid w:val="00133026"/>
    <w:rsid w:val="00133527"/>
    <w:rsid w:val="0013400A"/>
    <w:rsid w:val="00135071"/>
    <w:rsid w:val="00135EB0"/>
    <w:rsid w:val="00136E4B"/>
    <w:rsid w:val="00137048"/>
    <w:rsid w:val="00137383"/>
    <w:rsid w:val="001379DE"/>
    <w:rsid w:val="0014063F"/>
    <w:rsid w:val="00140E28"/>
    <w:rsid w:val="00141472"/>
    <w:rsid w:val="0014221A"/>
    <w:rsid w:val="00142A27"/>
    <w:rsid w:val="0014343A"/>
    <w:rsid w:val="0014359C"/>
    <w:rsid w:val="001437A2"/>
    <w:rsid w:val="00143869"/>
    <w:rsid w:val="001450CD"/>
    <w:rsid w:val="0014559A"/>
    <w:rsid w:val="00146403"/>
    <w:rsid w:val="00146DE6"/>
    <w:rsid w:val="001471E4"/>
    <w:rsid w:val="00147305"/>
    <w:rsid w:val="00147CAA"/>
    <w:rsid w:val="001503B7"/>
    <w:rsid w:val="001535A8"/>
    <w:rsid w:val="0015445A"/>
    <w:rsid w:val="00155943"/>
    <w:rsid w:val="00157AD2"/>
    <w:rsid w:val="00161DE8"/>
    <w:rsid w:val="00162392"/>
    <w:rsid w:val="0016367A"/>
    <w:rsid w:val="001639BD"/>
    <w:rsid w:val="00164498"/>
    <w:rsid w:val="001649A0"/>
    <w:rsid w:val="00164AD8"/>
    <w:rsid w:val="00165389"/>
    <w:rsid w:val="0016551E"/>
    <w:rsid w:val="001656C0"/>
    <w:rsid w:val="00166B83"/>
    <w:rsid w:val="0016793B"/>
    <w:rsid w:val="00167F3F"/>
    <w:rsid w:val="0017033E"/>
    <w:rsid w:val="00170CD5"/>
    <w:rsid w:val="00171C86"/>
    <w:rsid w:val="00171E74"/>
    <w:rsid w:val="00172663"/>
    <w:rsid w:val="00172C37"/>
    <w:rsid w:val="00172F35"/>
    <w:rsid w:val="00173F11"/>
    <w:rsid w:val="00175062"/>
    <w:rsid w:val="00175378"/>
    <w:rsid w:val="001756F1"/>
    <w:rsid w:val="00176B67"/>
    <w:rsid w:val="001772D2"/>
    <w:rsid w:val="00177303"/>
    <w:rsid w:val="00180AD4"/>
    <w:rsid w:val="00180CFB"/>
    <w:rsid w:val="001811D3"/>
    <w:rsid w:val="00181509"/>
    <w:rsid w:val="00181899"/>
    <w:rsid w:val="00181F7D"/>
    <w:rsid w:val="001821CB"/>
    <w:rsid w:val="00182E06"/>
    <w:rsid w:val="00182F58"/>
    <w:rsid w:val="00184388"/>
    <w:rsid w:val="00184848"/>
    <w:rsid w:val="001850D6"/>
    <w:rsid w:val="00185AB2"/>
    <w:rsid w:val="001866C3"/>
    <w:rsid w:val="00186A26"/>
    <w:rsid w:val="00187DAE"/>
    <w:rsid w:val="00190B32"/>
    <w:rsid w:val="001910DB"/>
    <w:rsid w:val="001911AC"/>
    <w:rsid w:val="0019161B"/>
    <w:rsid w:val="00193C3E"/>
    <w:rsid w:val="0019499E"/>
    <w:rsid w:val="00196998"/>
    <w:rsid w:val="00196B28"/>
    <w:rsid w:val="0019735B"/>
    <w:rsid w:val="00197743"/>
    <w:rsid w:val="00197BA4"/>
    <w:rsid w:val="001A00D9"/>
    <w:rsid w:val="001A0C06"/>
    <w:rsid w:val="001A1CCF"/>
    <w:rsid w:val="001A2884"/>
    <w:rsid w:val="001A3681"/>
    <w:rsid w:val="001A3A87"/>
    <w:rsid w:val="001A3AFD"/>
    <w:rsid w:val="001A3EC6"/>
    <w:rsid w:val="001A4A07"/>
    <w:rsid w:val="001A53DF"/>
    <w:rsid w:val="001A56C7"/>
    <w:rsid w:val="001A624C"/>
    <w:rsid w:val="001A7724"/>
    <w:rsid w:val="001A7C4B"/>
    <w:rsid w:val="001B010D"/>
    <w:rsid w:val="001B0D8A"/>
    <w:rsid w:val="001B1D24"/>
    <w:rsid w:val="001B1FAD"/>
    <w:rsid w:val="001B26B7"/>
    <w:rsid w:val="001B2AA7"/>
    <w:rsid w:val="001B39D2"/>
    <w:rsid w:val="001B40AA"/>
    <w:rsid w:val="001B620C"/>
    <w:rsid w:val="001B689F"/>
    <w:rsid w:val="001B73F7"/>
    <w:rsid w:val="001B7B86"/>
    <w:rsid w:val="001C0292"/>
    <w:rsid w:val="001C06AA"/>
    <w:rsid w:val="001C0855"/>
    <w:rsid w:val="001C0F19"/>
    <w:rsid w:val="001C0FBD"/>
    <w:rsid w:val="001C186D"/>
    <w:rsid w:val="001C1E17"/>
    <w:rsid w:val="001C2D74"/>
    <w:rsid w:val="001C3462"/>
    <w:rsid w:val="001C3694"/>
    <w:rsid w:val="001C46E4"/>
    <w:rsid w:val="001C62D6"/>
    <w:rsid w:val="001C64AB"/>
    <w:rsid w:val="001C6890"/>
    <w:rsid w:val="001C76C5"/>
    <w:rsid w:val="001C7CCA"/>
    <w:rsid w:val="001C7F61"/>
    <w:rsid w:val="001D04EE"/>
    <w:rsid w:val="001D0661"/>
    <w:rsid w:val="001D07C2"/>
    <w:rsid w:val="001D0ACE"/>
    <w:rsid w:val="001D0C91"/>
    <w:rsid w:val="001D0CD3"/>
    <w:rsid w:val="001D0D60"/>
    <w:rsid w:val="001D0E11"/>
    <w:rsid w:val="001D0FD7"/>
    <w:rsid w:val="001D1528"/>
    <w:rsid w:val="001D23CF"/>
    <w:rsid w:val="001D2861"/>
    <w:rsid w:val="001D3AC1"/>
    <w:rsid w:val="001D4089"/>
    <w:rsid w:val="001D4091"/>
    <w:rsid w:val="001D518C"/>
    <w:rsid w:val="001D524E"/>
    <w:rsid w:val="001D5718"/>
    <w:rsid w:val="001D5C2A"/>
    <w:rsid w:val="001D61B8"/>
    <w:rsid w:val="001D699C"/>
    <w:rsid w:val="001D7A99"/>
    <w:rsid w:val="001E01A3"/>
    <w:rsid w:val="001E083E"/>
    <w:rsid w:val="001E0954"/>
    <w:rsid w:val="001E2551"/>
    <w:rsid w:val="001E287B"/>
    <w:rsid w:val="001E5210"/>
    <w:rsid w:val="001E6796"/>
    <w:rsid w:val="001E7A55"/>
    <w:rsid w:val="001E7B19"/>
    <w:rsid w:val="001E7F6B"/>
    <w:rsid w:val="001F1669"/>
    <w:rsid w:val="001F1732"/>
    <w:rsid w:val="001F2638"/>
    <w:rsid w:val="001F28FD"/>
    <w:rsid w:val="001F3815"/>
    <w:rsid w:val="001F3BD8"/>
    <w:rsid w:val="001F4519"/>
    <w:rsid w:val="001F516D"/>
    <w:rsid w:val="001F5199"/>
    <w:rsid w:val="001F5218"/>
    <w:rsid w:val="001F61C1"/>
    <w:rsid w:val="001F6298"/>
    <w:rsid w:val="001F6743"/>
    <w:rsid w:val="001F6EDF"/>
    <w:rsid w:val="001F6F91"/>
    <w:rsid w:val="001F7C2B"/>
    <w:rsid w:val="00200069"/>
    <w:rsid w:val="00202049"/>
    <w:rsid w:val="0020211C"/>
    <w:rsid w:val="00202279"/>
    <w:rsid w:val="00202451"/>
    <w:rsid w:val="00202BE0"/>
    <w:rsid w:val="00203620"/>
    <w:rsid w:val="002044FD"/>
    <w:rsid w:val="00204B21"/>
    <w:rsid w:val="002051F8"/>
    <w:rsid w:val="00205913"/>
    <w:rsid w:val="00205DF1"/>
    <w:rsid w:val="00210E00"/>
    <w:rsid w:val="00211195"/>
    <w:rsid w:val="0021177B"/>
    <w:rsid w:val="0021354A"/>
    <w:rsid w:val="002138A4"/>
    <w:rsid w:val="00214221"/>
    <w:rsid w:val="0021488F"/>
    <w:rsid w:val="0021554F"/>
    <w:rsid w:val="0021595D"/>
    <w:rsid w:val="0021603B"/>
    <w:rsid w:val="002160F1"/>
    <w:rsid w:val="002164F7"/>
    <w:rsid w:val="00217130"/>
    <w:rsid w:val="0021758D"/>
    <w:rsid w:val="002177FD"/>
    <w:rsid w:val="00217AA4"/>
    <w:rsid w:val="00217B6D"/>
    <w:rsid w:val="00217BC6"/>
    <w:rsid w:val="00217D75"/>
    <w:rsid w:val="002206CE"/>
    <w:rsid w:val="00220CE6"/>
    <w:rsid w:val="00221014"/>
    <w:rsid w:val="00221965"/>
    <w:rsid w:val="00222128"/>
    <w:rsid w:val="00222B5E"/>
    <w:rsid w:val="002234ED"/>
    <w:rsid w:val="00223BC8"/>
    <w:rsid w:val="00223D1A"/>
    <w:rsid w:val="00225263"/>
    <w:rsid w:val="00225F1F"/>
    <w:rsid w:val="00225F6B"/>
    <w:rsid w:val="00227E85"/>
    <w:rsid w:val="002302CD"/>
    <w:rsid w:val="00230369"/>
    <w:rsid w:val="00232052"/>
    <w:rsid w:val="00232886"/>
    <w:rsid w:val="00233868"/>
    <w:rsid w:val="00233D21"/>
    <w:rsid w:val="002354CF"/>
    <w:rsid w:val="00235759"/>
    <w:rsid w:val="0023789F"/>
    <w:rsid w:val="00237EB6"/>
    <w:rsid w:val="0024012A"/>
    <w:rsid w:val="00240404"/>
    <w:rsid w:val="00240808"/>
    <w:rsid w:val="00240A8C"/>
    <w:rsid w:val="0024133B"/>
    <w:rsid w:val="00242798"/>
    <w:rsid w:val="002428B8"/>
    <w:rsid w:val="00242921"/>
    <w:rsid w:val="00244BF9"/>
    <w:rsid w:val="00244EF2"/>
    <w:rsid w:val="00245C3D"/>
    <w:rsid w:val="002469F1"/>
    <w:rsid w:val="0024758D"/>
    <w:rsid w:val="00250370"/>
    <w:rsid w:val="002505AD"/>
    <w:rsid w:val="00251DAC"/>
    <w:rsid w:val="0025287D"/>
    <w:rsid w:val="00252B96"/>
    <w:rsid w:val="0025497A"/>
    <w:rsid w:val="00254D8C"/>
    <w:rsid w:val="002558D5"/>
    <w:rsid w:val="00256024"/>
    <w:rsid w:val="002562C5"/>
    <w:rsid w:val="0025697E"/>
    <w:rsid w:val="00256CDC"/>
    <w:rsid w:val="00257528"/>
    <w:rsid w:val="002576FF"/>
    <w:rsid w:val="002577B8"/>
    <w:rsid w:val="00257F7E"/>
    <w:rsid w:val="002600E6"/>
    <w:rsid w:val="002607FC"/>
    <w:rsid w:val="002608AE"/>
    <w:rsid w:val="0026156C"/>
    <w:rsid w:val="00261808"/>
    <w:rsid w:val="00261970"/>
    <w:rsid w:val="002621A4"/>
    <w:rsid w:val="002624DF"/>
    <w:rsid w:val="00262587"/>
    <w:rsid w:val="0026267A"/>
    <w:rsid w:val="002637D9"/>
    <w:rsid w:val="002638DC"/>
    <w:rsid w:val="00263C19"/>
    <w:rsid w:val="00264026"/>
    <w:rsid w:val="00264DBB"/>
    <w:rsid w:val="0026656B"/>
    <w:rsid w:val="00266890"/>
    <w:rsid w:val="00266901"/>
    <w:rsid w:val="00266A3B"/>
    <w:rsid w:val="002679C3"/>
    <w:rsid w:val="00270425"/>
    <w:rsid w:val="0027050B"/>
    <w:rsid w:val="00270B28"/>
    <w:rsid w:val="00270BF9"/>
    <w:rsid w:val="002714B9"/>
    <w:rsid w:val="00271B43"/>
    <w:rsid w:val="00271FF9"/>
    <w:rsid w:val="00272296"/>
    <w:rsid w:val="00272B91"/>
    <w:rsid w:val="002738B0"/>
    <w:rsid w:val="002738CD"/>
    <w:rsid w:val="00274128"/>
    <w:rsid w:val="00274425"/>
    <w:rsid w:val="00274B12"/>
    <w:rsid w:val="00274B8B"/>
    <w:rsid w:val="0027509F"/>
    <w:rsid w:val="002757AF"/>
    <w:rsid w:val="0027587B"/>
    <w:rsid w:val="0027602A"/>
    <w:rsid w:val="002765EF"/>
    <w:rsid w:val="00276CF6"/>
    <w:rsid w:val="00276D81"/>
    <w:rsid w:val="002770E9"/>
    <w:rsid w:val="00277131"/>
    <w:rsid w:val="002779F6"/>
    <w:rsid w:val="00277F82"/>
    <w:rsid w:val="00277FF8"/>
    <w:rsid w:val="00280698"/>
    <w:rsid w:val="002806F6"/>
    <w:rsid w:val="00280A79"/>
    <w:rsid w:val="00280D04"/>
    <w:rsid w:val="00280DEA"/>
    <w:rsid w:val="00281464"/>
    <w:rsid w:val="002823A4"/>
    <w:rsid w:val="00282DB7"/>
    <w:rsid w:val="00283135"/>
    <w:rsid w:val="002831F2"/>
    <w:rsid w:val="0028411D"/>
    <w:rsid w:val="00284524"/>
    <w:rsid w:val="00284BA4"/>
    <w:rsid w:val="002852BE"/>
    <w:rsid w:val="002867E6"/>
    <w:rsid w:val="00286C60"/>
    <w:rsid w:val="00286FB5"/>
    <w:rsid w:val="00287405"/>
    <w:rsid w:val="002876DD"/>
    <w:rsid w:val="0028777E"/>
    <w:rsid w:val="00287951"/>
    <w:rsid w:val="00287994"/>
    <w:rsid w:val="00287A82"/>
    <w:rsid w:val="00287C21"/>
    <w:rsid w:val="00287F14"/>
    <w:rsid w:val="002904E3"/>
    <w:rsid w:val="00290AEF"/>
    <w:rsid w:val="00290BE2"/>
    <w:rsid w:val="0029249C"/>
    <w:rsid w:val="0029296E"/>
    <w:rsid w:val="00292C13"/>
    <w:rsid w:val="00293741"/>
    <w:rsid w:val="002938B1"/>
    <w:rsid w:val="00293CAF"/>
    <w:rsid w:val="00293E6E"/>
    <w:rsid w:val="00294508"/>
    <w:rsid w:val="00294FAA"/>
    <w:rsid w:val="002958FD"/>
    <w:rsid w:val="00295B0A"/>
    <w:rsid w:val="00295DBA"/>
    <w:rsid w:val="00296E64"/>
    <w:rsid w:val="00296EC5"/>
    <w:rsid w:val="00297077"/>
    <w:rsid w:val="00297C2F"/>
    <w:rsid w:val="002A0128"/>
    <w:rsid w:val="002A0F7A"/>
    <w:rsid w:val="002A1E47"/>
    <w:rsid w:val="002A2071"/>
    <w:rsid w:val="002A26FD"/>
    <w:rsid w:val="002A3A3D"/>
    <w:rsid w:val="002A3C5C"/>
    <w:rsid w:val="002A41BD"/>
    <w:rsid w:val="002A4789"/>
    <w:rsid w:val="002A5CA4"/>
    <w:rsid w:val="002A626F"/>
    <w:rsid w:val="002A7253"/>
    <w:rsid w:val="002A74D6"/>
    <w:rsid w:val="002A7877"/>
    <w:rsid w:val="002A7C2F"/>
    <w:rsid w:val="002A7F71"/>
    <w:rsid w:val="002B076F"/>
    <w:rsid w:val="002B099E"/>
    <w:rsid w:val="002B0EBD"/>
    <w:rsid w:val="002B15DA"/>
    <w:rsid w:val="002B1980"/>
    <w:rsid w:val="002B4698"/>
    <w:rsid w:val="002B515A"/>
    <w:rsid w:val="002B52C6"/>
    <w:rsid w:val="002B57DB"/>
    <w:rsid w:val="002B6286"/>
    <w:rsid w:val="002B6746"/>
    <w:rsid w:val="002B68ED"/>
    <w:rsid w:val="002B6A59"/>
    <w:rsid w:val="002B6BDA"/>
    <w:rsid w:val="002B71B0"/>
    <w:rsid w:val="002B75CB"/>
    <w:rsid w:val="002B7AE4"/>
    <w:rsid w:val="002C0D28"/>
    <w:rsid w:val="002C1230"/>
    <w:rsid w:val="002C14E2"/>
    <w:rsid w:val="002C300C"/>
    <w:rsid w:val="002C34D7"/>
    <w:rsid w:val="002C46A5"/>
    <w:rsid w:val="002C6C30"/>
    <w:rsid w:val="002D0A01"/>
    <w:rsid w:val="002D0AA9"/>
    <w:rsid w:val="002D185B"/>
    <w:rsid w:val="002D233C"/>
    <w:rsid w:val="002D2C23"/>
    <w:rsid w:val="002D2EF7"/>
    <w:rsid w:val="002D488B"/>
    <w:rsid w:val="002D53AF"/>
    <w:rsid w:val="002D5B2B"/>
    <w:rsid w:val="002D6D95"/>
    <w:rsid w:val="002D6FEE"/>
    <w:rsid w:val="002D72F4"/>
    <w:rsid w:val="002D7B4C"/>
    <w:rsid w:val="002E11B9"/>
    <w:rsid w:val="002E1231"/>
    <w:rsid w:val="002E2C90"/>
    <w:rsid w:val="002E2CB4"/>
    <w:rsid w:val="002E315D"/>
    <w:rsid w:val="002E333E"/>
    <w:rsid w:val="002E3CBC"/>
    <w:rsid w:val="002E430C"/>
    <w:rsid w:val="002E5EC2"/>
    <w:rsid w:val="002E60AB"/>
    <w:rsid w:val="002E6113"/>
    <w:rsid w:val="002E772D"/>
    <w:rsid w:val="002F00C5"/>
    <w:rsid w:val="002F07E6"/>
    <w:rsid w:val="002F1C3B"/>
    <w:rsid w:val="002F1C59"/>
    <w:rsid w:val="002F1DBA"/>
    <w:rsid w:val="002F28D8"/>
    <w:rsid w:val="002F3D0E"/>
    <w:rsid w:val="002F3E13"/>
    <w:rsid w:val="002F47AD"/>
    <w:rsid w:val="002F5790"/>
    <w:rsid w:val="002F6295"/>
    <w:rsid w:val="002F6FEC"/>
    <w:rsid w:val="002F7114"/>
    <w:rsid w:val="002F794C"/>
    <w:rsid w:val="0030008B"/>
    <w:rsid w:val="003006CA"/>
    <w:rsid w:val="00300834"/>
    <w:rsid w:val="00303177"/>
    <w:rsid w:val="0030336D"/>
    <w:rsid w:val="00303FBB"/>
    <w:rsid w:val="00304ACA"/>
    <w:rsid w:val="003052A7"/>
    <w:rsid w:val="0030553F"/>
    <w:rsid w:val="003065FD"/>
    <w:rsid w:val="0031062D"/>
    <w:rsid w:val="00310B3E"/>
    <w:rsid w:val="003114E5"/>
    <w:rsid w:val="00311CFE"/>
    <w:rsid w:val="0031386E"/>
    <w:rsid w:val="00313945"/>
    <w:rsid w:val="00313DC6"/>
    <w:rsid w:val="00313E28"/>
    <w:rsid w:val="00314E63"/>
    <w:rsid w:val="003155DC"/>
    <w:rsid w:val="00315B85"/>
    <w:rsid w:val="00315E2B"/>
    <w:rsid w:val="00315EF0"/>
    <w:rsid w:val="0031624B"/>
    <w:rsid w:val="003164CC"/>
    <w:rsid w:val="00316644"/>
    <w:rsid w:val="00316AD7"/>
    <w:rsid w:val="0031743A"/>
    <w:rsid w:val="00317BAE"/>
    <w:rsid w:val="00317FB1"/>
    <w:rsid w:val="0032098B"/>
    <w:rsid w:val="00320B86"/>
    <w:rsid w:val="00321047"/>
    <w:rsid w:val="003214AE"/>
    <w:rsid w:val="003217E5"/>
    <w:rsid w:val="00321F70"/>
    <w:rsid w:val="003233CB"/>
    <w:rsid w:val="00323455"/>
    <w:rsid w:val="003237AF"/>
    <w:rsid w:val="00324DCD"/>
    <w:rsid w:val="00324E9C"/>
    <w:rsid w:val="00324FCF"/>
    <w:rsid w:val="003250F2"/>
    <w:rsid w:val="003254A4"/>
    <w:rsid w:val="00326441"/>
    <w:rsid w:val="003264AA"/>
    <w:rsid w:val="0032725F"/>
    <w:rsid w:val="0032775A"/>
    <w:rsid w:val="0033129D"/>
    <w:rsid w:val="00331346"/>
    <w:rsid w:val="003314D7"/>
    <w:rsid w:val="003324E2"/>
    <w:rsid w:val="003337C9"/>
    <w:rsid w:val="00333B88"/>
    <w:rsid w:val="00333C11"/>
    <w:rsid w:val="00333E01"/>
    <w:rsid w:val="00333EDD"/>
    <w:rsid w:val="0033544D"/>
    <w:rsid w:val="00335F27"/>
    <w:rsid w:val="0033616E"/>
    <w:rsid w:val="00336575"/>
    <w:rsid w:val="00337211"/>
    <w:rsid w:val="00337623"/>
    <w:rsid w:val="003406B4"/>
    <w:rsid w:val="00340B30"/>
    <w:rsid w:val="0034174E"/>
    <w:rsid w:val="00341751"/>
    <w:rsid w:val="00341E56"/>
    <w:rsid w:val="00342041"/>
    <w:rsid w:val="0034227B"/>
    <w:rsid w:val="0034437D"/>
    <w:rsid w:val="0034484F"/>
    <w:rsid w:val="00345535"/>
    <w:rsid w:val="00345DEA"/>
    <w:rsid w:val="003466FC"/>
    <w:rsid w:val="0034733A"/>
    <w:rsid w:val="003476A1"/>
    <w:rsid w:val="003476B4"/>
    <w:rsid w:val="00351000"/>
    <w:rsid w:val="003514CD"/>
    <w:rsid w:val="003516EF"/>
    <w:rsid w:val="00353783"/>
    <w:rsid w:val="00353805"/>
    <w:rsid w:val="00353EA5"/>
    <w:rsid w:val="00354667"/>
    <w:rsid w:val="00354A45"/>
    <w:rsid w:val="00354C75"/>
    <w:rsid w:val="00354DB1"/>
    <w:rsid w:val="003552C8"/>
    <w:rsid w:val="0035530A"/>
    <w:rsid w:val="00355B93"/>
    <w:rsid w:val="003575BA"/>
    <w:rsid w:val="0036020B"/>
    <w:rsid w:val="00360211"/>
    <w:rsid w:val="00361538"/>
    <w:rsid w:val="003615A3"/>
    <w:rsid w:val="00361D72"/>
    <w:rsid w:val="00362D53"/>
    <w:rsid w:val="00362DB7"/>
    <w:rsid w:val="00363312"/>
    <w:rsid w:val="003636D3"/>
    <w:rsid w:val="00363F8E"/>
    <w:rsid w:val="003640FA"/>
    <w:rsid w:val="00364359"/>
    <w:rsid w:val="00364A48"/>
    <w:rsid w:val="00364A9A"/>
    <w:rsid w:val="00365810"/>
    <w:rsid w:val="003658BA"/>
    <w:rsid w:val="0036732B"/>
    <w:rsid w:val="00367444"/>
    <w:rsid w:val="0036794B"/>
    <w:rsid w:val="00367C76"/>
    <w:rsid w:val="00367F5B"/>
    <w:rsid w:val="00371D40"/>
    <w:rsid w:val="0037239C"/>
    <w:rsid w:val="00372624"/>
    <w:rsid w:val="003738D9"/>
    <w:rsid w:val="00373942"/>
    <w:rsid w:val="00373992"/>
    <w:rsid w:val="003739C4"/>
    <w:rsid w:val="00373FE3"/>
    <w:rsid w:val="003752DA"/>
    <w:rsid w:val="0037634A"/>
    <w:rsid w:val="00376778"/>
    <w:rsid w:val="00376CA1"/>
    <w:rsid w:val="00376E02"/>
    <w:rsid w:val="003773A4"/>
    <w:rsid w:val="00377D5D"/>
    <w:rsid w:val="00377FBE"/>
    <w:rsid w:val="00380384"/>
    <w:rsid w:val="0038169D"/>
    <w:rsid w:val="00381784"/>
    <w:rsid w:val="003818F6"/>
    <w:rsid w:val="00381CB6"/>
    <w:rsid w:val="00382687"/>
    <w:rsid w:val="00382EC9"/>
    <w:rsid w:val="0038352B"/>
    <w:rsid w:val="003839EA"/>
    <w:rsid w:val="00383F58"/>
    <w:rsid w:val="0038584A"/>
    <w:rsid w:val="0038644A"/>
    <w:rsid w:val="00386861"/>
    <w:rsid w:val="003877AE"/>
    <w:rsid w:val="003901E0"/>
    <w:rsid w:val="00390378"/>
    <w:rsid w:val="00390D43"/>
    <w:rsid w:val="00391AA1"/>
    <w:rsid w:val="00392B69"/>
    <w:rsid w:val="00392E06"/>
    <w:rsid w:val="00393923"/>
    <w:rsid w:val="003941AA"/>
    <w:rsid w:val="0039435D"/>
    <w:rsid w:val="0039448A"/>
    <w:rsid w:val="0039464E"/>
    <w:rsid w:val="003947B1"/>
    <w:rsid w:val="003948F7"/>
    <w:rsid w:val="00394CB0"/>
    <w:rsid w:val="0039593B"/>
    <w:rsid w:val="00395E02"/>
    <w:rsid w:val="003961BF"/>
    <w:rsid w:val="00396217"/>
    <w:rsid w:val="00396255"/>
    <w:rsid w:val="003965FC"/>
    <w:rsid w:val="00396A44"/>
    <w:rsid w:val="00397FC6"/>
    <w:rsid w:val="003A02F8"/>
    <w:rsid w:val="003A052A"/>
    <w:rsid w:val="003A0B0B"/>
    <w:rsid w:val="003A111E"/>
    <w:rsid w:val="003A12F0"/>
    <w:rsid w:val="003A15A9"/>
    <w:rsid w:val="003A1683"/>
    <w:rsid w:val="003A2026"/>
    <w:rsid w:val="003A238D"/>
    <w:rsid w:val="003A3408"/>
    <w:rsid w:val="003A4806"/>
    <w:rsid w:val="003A5867"/>
    <w:rsid w:val="003A5945"/>
    <w:rsid w:val="003A5E49"/>
    <w:rsid w:val="003A68D3"/>
    <w:rsid w:val="003A730C"/>
    <w:rsid w:val="003B0031"/>
    <w:rsid w:val="003B0AC6"/>
    <w:rsid w:val="003B10C8"/>
    <w:rsid w:val="003B1B7D"/>
    <w:rsid w:val="003B1BC3"/>
    <w:rsid w:val="003B1E14"/>
    <w:rsid w:val="003B33FB"/>
    <w:rsid w:val="003B44FB"/>
    <w:rsid w:val="003B454D"/>
    <w:rsid w:val="003B486C"/>
    <w:rsid w:val="003B4B5B"/>
    <w:rsid w:val="003B4F37"/>
    <w:rsid w:val="003B538A"/>
    <w:rsid w:val="003B5474"/>
    <w:rsid w:val="003B55C8"/>
    <w:rsid w:val="003B5992"/>
    <w:rsid w:val="003B6195"/>
    <w:rsid w:val="003B77F5"/>
    <w:rsid w:val="003B7848"/>
    <w:rsid w:val="003B784F"/>
    <w:rsid w:val="003C0353"/>
    <w:rsid w:val="003C13C6"/>
    <w:rsid w:val="003C1E94"/>
    <w:rsid w:val="003C244B"/>
    <w:rsid w:val="003C262F"/>
    <w:rsid w:val="003C27F4"/>
    <w:rsid w:val="003C2C5D"/>
    <w:rsid w:val="003C32F0"/>
    <w:rsid w:val="003C4421"/>
    <w:rsid w:val="003C53D6"/>
    <w:rsid w:val="003C5A7F"/>
    <w:rsid w:val="003C5BAF"/>
    <w:rsid w:val="003C5D96"/>
    <w:rsid w:val="003C5ED0"/>
    <w:rsid w:val="003C69F2"/>
    <w:rsid w:val="003C7285"/>
    <w:rsid w:val="003C73BB"/>
    <w:rsid w:val="003C748B"/>
    <w:rsid w:val="003D1649"/>
    <w:rsid w:val="003D2BEA"/>
    <w:rsid w:val="003D3265"/>
    <w:rsid w:val="003D3E2E"/>
    <w:rsid w:val="003D424E"/>
    <w:rsid w:val="003D44EF"/>
    <w:rsid w:val="003D60A0"/>
    <w:rsid w:val="003D69EB"/>
    <w:rsid w:val="003D79CD"/>
    <w:rsid w:val="003E06F9"/>
    <w:rsid w:val="003E079D"/>
    <w:rsid w:val="003E0FEE"/>
    <w:rsid w:val="003E1282"/>
    <w:rsid w:val="003E1753"/>
    <w:rsid w:val="003E2779"/>
    <w:rsid w:val="003E2A06"/>
    <w:rsid w:val="003E4E89"/>
    <w:rsid w:val="003E625E"/>
    <w:rsid w:val="003E633B"/>
    <w:rsid w:val="003E64CD"/>
    <w:rsid w:val="003E697E"/>
    <w:rsid w:val="003E6A7B"/>
    <w:rsid w:val="003E7264"/>
    <w:rsid w:val="003E75EC"/>
    <w:rsid w:val="003F02E9"/>
    <w:rsid w:val="003F0727"/>
    <w:rsid w:val="003F0876"/>
    <w:rsid w:val="003F0A78"/>
    <w:rsid w:val="003F1546"/>
    <w:rsid w:val="003F1A3F"/>
    <w:rsid w:val="003F1BDB"/>
    <w:rsid w:val="003F1DF4"/>
    <w:rsid w:val="003F3471"/>
    <w:rsid w:val="003F3F94"/>
    <w:rsid w:val="003F48AA"/>
    <w:rsid w:val="003F4981"/>
    <w:rsid w:val="003F4D6D"/>
    <w:rsid w:val="003F4E14"/>
    <w:rsid w:val="003F540A"/>
    <w:rsid w:val="003F59FA"/>
    <w:rsid w:val="003F5D7B"/>
    <w:rsid w:val="003F5F06"/>
    <w:rsid w:val="003F680E"/>
    <w:rsid w:val="003F7270"/>
    <w:rsid w:val="003F7398"/>
    <w:rsid w:val="003F7931"/>
    <w:rsid w:val="00401F93"/>
    <w:rsid w:val="004020EA"/>
    <w:rsid w:val="00402D9D"/>
    <w:rsid w:val="0040329D"/>
    <w:rsid w:val="004038E2"/>
    <w:rsid w:val="0040391C"/>
    <w:rsid w:val="00404B4A"/>
    <w:rsid w:val="004053AA"/>
    <w:rsid w:val="004058C6"/>
    <w:rsid w:val="00406135"/>
    <w:rsid w:val="0040633D"/>
    <w:rsid w:val="00407604"/>
    <w:rsid w:val="00407CD6"/>
    <w:rsid w:val="004102F3"/>
    <w:rsid w:val="0041044A"/>
    <w:rsid w:val="004107E6"/>
    <w:rsid w:val="004114F7"/>
    <w:rsid w:val="00412CD1"/>
    <w:rsid w:val="00413160"/>
    <w:rsid w:val="0041324A"/>
    <w:rsid w:val="00413E61"/>
    <w:rsid w:val="004153EE"/>
    <w:rsid w:val="00415DC5"/>
    <w:rsid w:val="0041674B"/>
    <w:rsid w:val="00420853"/>
    <w:rsid w:val="00420884"/>
    <w:rsid w:val="00420C23"/>
    <w:rsid w:val="004211BE"/>
    <w:rsid w:val="00421653"/>
    <w:rsid w:val="004217A3"/>
    <w:rsid w:val="00421E04"/>
    <w:rsid w:val="00422493"/>
    <w:rsid w:val="00423018"/>
    <w:rsid w:val="004239D8"/>
    <w:rsid w:val="004240D5"/>
    <w:rsid w:val="00424A72"/>
    <w:rsid w:val="00424D6E"/>
    <w:rsid w:val="004250DC"/>
    <w:rsid w:val="00425110"/>
    <w:rsid w:val="00425252"/>
    <w:rsid w:val="004254DF"/>
    <w:rsid w:val="00425939"/>
    <w:rsid w:val="00426640"/>
    <w:rsid w:val="004270D5"/>
    <w:rsid w:val="00427387"/>
    <w:rsid w:val="004300DC"/>
    <w:rsid w:val="00430452"/>
    <w:rsid w:val="00430C46"/>
    <w:rsid w:val="00431387"/>
    <w:rsid w:val="00431DF0"/>
    <w:rsid w:val="00431F1D"/>
    <w:rsid w:val="004321BF"/>
    <w:rsid w:val="00432D00"/>
    <w:rsid w:val="00433006"/>
    <w:rsid w:val="00433050"/>
    <w:rsid w:val="00433069"/>
    <w:rsid w:val="00433489"/>
    <w:rsid w:val="004351C1"/>
    <w:rsid w:val="00435EE6"/>
    <w:rsid w:val="00436134"/>
    <w:rsid w:val="00436233"/>
    <w:rsid w:val="00436AEE"/>
    <w:rsid w:val="00437386"/>
    <w:rsid w:val="00440037"/>
    <w:rsid w:val="00440468"/>
    <w:rsid w:val="00440593"/>
    <w:rsid w:val="00440D1D"/>
    <w:rsid w:val="00440E60"/>
    <w:rsid w:val="00442902"/>
    <w:rsid w:val="00442C0D"/>
    <w:rsid w:val="004430A5"/>
    <w:rsid w:val="004431FA"/>
    <w:rsid w:val="00444E6D"/>
    <w:rsid w:val="00445622"/>
    <w:rsid w:val="004457E9"/>
    <w:rsid w:val="00445915"/>
    <w:rsid w:val="00446C47"/>
    <w:rsid w:val="00446FE5"/>
    <w:rsid w:val="0044702F"/>
    <w:rsid w:val="004471CE"/>
    <w:rsid w:val="00447AD4"/>
    <w:rsid w:val="00450277"/>
    <w:rsid w:val="00450C48"/>
    <w:rsid w:val="004521BD"/>
    <w:rsid w:val="00452E54"/>
    <w:rsid w:val="004530DE"/>
    <w:rsid w:val="004531A4"/>
    <w:rsid w:val="0045322C"/>
    <w:rsid w:val="0045336D"/>
    <w:rsid w:val="00453A81"/>
    <w:rsid w:val="00453E90"/>
    <w:rsid w:val="004548CA"/>
    <w:rsid w:val="00454D22"/>
    <w:rsid w:val="004552CE"/>
    <w:rsid w:val="004556D4"/>
    <w:rsid w:val="00455E7A"/>
    <w:rsid w:val="00456447"/>
    <w:rsid w:val="004569FA"/>
    <w:rsid w:val="00456BA9"/>
    <w:rsid w:val="00456E98"/>
    <w:rsid w:val="00457BF4"/>
    <w:rsid w:val="00457D61"/>
    <w:rsid w:val="00461C28"/>
    <w:rsid w:val="00462263"/>
    <w:rsid w:val="004624A3"/>
    <w:rsid w:val="004637F6"/>
    <w:rsid w:val="0046416A"/>
    <w:rsid w:val="0046528B"/>
    <w:rsid w:val="00466545"/>
    <w:rsid w:val="004665E7"/>
    <w:rsid w:val="0046666D"/>
    <w:rsid w:val="00467A29"/>
    <w:rsid w:val="00467CD6"/>
    <w:rsid w:val="0047045C"/>
    <w:rsid w:val="00470513"/>
    <w:rsid w:val="00470D36"/>
    <w:rsid w:val="0047128F"/>
    <w:rsid w:val="00471375"/>
    <w:rsid w:val="00472D72"/>
    <w:rsid w:val="00473867"/>
    <w:rsid w:val="004738FB"/>
    <w:rsid w:val="00473944"/>
    <w:rsid w:val="00474060"/>
    <w:rsid w:val="00474BDC"/>
    <w:rsid w:val="00474D44"/>
    <w:rsid w:val="00474F44"/>
    <w:rsid w:val="00475C77"/>
    <w:rsid w:val="00475EF9"/>
    <w:rsid w:val="0047692C"/>
    <w:rsid w:val="00476E28"/>
    <w:rsid w:val="00477672"/>
    <w:rsid w:val="00477932"/>
    <w:rsid w:val="004800A8"/>
    <w:rsid w:val="0048015F"/>
    <w:rsid w:val="004804F5"/>
    <w:rsid w:val="00481D44"/>
    <w:rsid w:val="00481ED6"/>
    <w:rsid w:val="00481F84"/>
    <w:rsid w:val="00482DA7"/>
    <w:rsid w:val="00484F4D"/>
    <w:rsid w:val="00484F59"/>
    <w:rsid w:val="00485376"/>
    <w:rsid w:val="0048570F"/>
    <w:rsid w:val="00485F12"/>
    <w:rsid w:val="00485F56"/>
    <w:rsid w:val="00485FF9"/>
    <w:rsid w:val="00486540"/>
    <w:rsid w:val="00487090"/>
    <w:rsid w:val="00487351"/>
    <w:rsid w:val="00490FDE"/>
    <w:rsid w:val="00491688"/>
    <w:rsid w:val="004926C4"/>
    <w:rsid w:val="0049325B"/>
    <w:rsid w:val="00493267"/>
    <w:rsid w:val="00493665"/>
    <w:rsid w:val="00493A37"/>
    <w:rsid w:val="00493DB1"/>
    <w:rsid w:val="0049581A"/>
    <w:rsid w:val="00495910"/>
    <w:rsid w:val="00495E0F"/>
    <w:rsid w:val="00496214"/>
    <w:rsid w:val="00497061"/>
    <w:rsid w:val="0049726B"/>
    <w:rsid w:val="00497D37"/>
    <w:rsid w:val="004A0A28"/>
    <w:rsid w:val="004A13FB"/>
    <w:rsid w:val="004A1B2D"/>
    <w:rsid w:val="004A21AE"/>
    <w:rsid w:val="004A2422"/>
    <w:rsid w:val="004A2F45"/>
    <w:rsid w:val="004A360E"/>
    <w:rsid w:val="004A3E6E"/>
    <w:rsid w:val="004A43B9"/>
    <w:rsid w:val="004A4659"/>
    <w:rsid w:val="004A4968"/>
    <w:rsid w:val="004A4B41"/>
    <w:rsid w:val="004A50FE"/>
    <w:rsid w:val="004A5660"/>
    <w:rsid w:val="004A574A"/>
    <w:rsid w:val="004A5A2F"/>
    <w:rsid w:val="004A5CE7"/>
    <w:rsid w:val="004A73B7"/>
    <w:rsid w:val="004A76A5"/>
    <w:rsid w:val="004A7776"/>
    <w:rsid w:val="004A7B87"/>
    <w:rsid w:val="004B02A2"/>
    <w:rsid w:val="004B0505"/>
    <w:rsid w:val="004B0763"/>
    <w:rsid w:val="004B17B4"/>
    <w:rsid w:val="004B1DAE"/>
    <w:rsid w:val="004B216D"/>
    <w:rsid w:val="004B2890"/>
    <w:rsid w:val="004B2A3E"/>
    <w:rsid w:val="004B2E59"/>
    <w:rsid w:val="004B37FF"/>
    <w:rsid w:val="004B386B"/>
    <w:rsid w:val="004B38E1"/>
    <w:rsid w:val="004B3FBF"/>
    <w:rsid w:val="004B44D1"/>
    <w:rsid w:val="004B461B"/>
    <w:rsid w:val="004B4C03"/>
    <w:rsid w:val="004B4C96"/>
    <w:rsid w:val="004C0799"/>
    <w:rsid w:val="004C1AC1"/>
    <w:rsid w:val="004C1B4D"/>
    <w:rsid w:val="004C2115"/>
    <w:rsid w:val="004C25AA"/>
    <w:rsid w:val="004C38C2"/>
    <w:rsid w:val="004C407C"/>
    <w:rsid w:val="004C40C7"/>
    <w:rsid w:val="004C4315"/>
    <w:rsid w:val="004C437A"/>
    <w:rsid w:val="004C48A5"/>
    <w:rsid w:val="004C519B"/>
    <w:rsid w:val="004C59A0"/>
    <w:rsid w:val="004C5D06"/>
    <w:rsid w:val="004C61B3"/>
    <w:rsid w:val="004C657C"/>
    <w:rsid w:val="004C78B6"/>
    <w:rsid w:val="004C7E39"/>
    <w:rsid w:val="004D026D"/>
    <w:rsid w:val="004D108A"/>
    <w:rsid w:val="004D159C"/>
    <w:rsid w:val="004D1EEB"/>
    <w:rsid w:val="004D3B3E"/>
    <w:rsid w:val="004D4638"/>
    <w:rsid w:val="004D4790"/>
    <w:rsid w:val="004D54C6"/>
    <w:rsid w:val="004D5B92"/>
    <w:rsid w:val="004D61AA"/>
    <w:rsid w:val="004D6791"/>
    <w:rsid w:val="004D67FB"/>
    <w:rsid w:val="004D7291"/>
    <w:rsid w:val="004D7CAE"/>
    <w:rsid w:val="004D7CE2"/>
    <w:rsid w:val="004E01FF"/>
    <w:rsid w:val="004E03B4"/>
    <w:rsid w:val="004E0480"/>
    <w:rsid w:val="004E0A42"/>
    <w:rsid w:val="004E3CA9"/>
    <w:rsid w:val="004E4869"/>
    <w:rsid w:val="004E5728"/>
    <w:rsid w:val="004E577A"/>
    <w:rsid w:val="004E6011"/>
    <w:rsid w:val="004E6F5F"/>
    <w:rsid w:val="004E7FD8"/>
    <w:rsid w:val="004F040F"/>
    <w:rsid w:val="004F120F"/>
    <w:rsid w:val="004F17BB"/>
    <w:rsid w:val="004F1E8A"/>
    <w:rsid w:val="004F3084"/>
    <w:rsid w:val="004F5111"/>
    <w:rsid w:val="004F656E"/>
    <w:rsid w:val="004F6F75"/>
    <w:rsid w:val="004F7196"/>
    <w:rsid w:val="004F7279"/>
    <w:rsid w:val="004F7C41"/>
    <w:rsid w:val="00501D97"/>
    <w:rsid w:val="00501E42"/>
    <w:rsid w:val="00502AB5"/>
    <w:rsid w:val="0050367A"/>
    <w:rsid w:val="00503993"/>
    <w:rsid w:val="00503CA4"/>
    <w:rsid w:val="00503F9D"/>
    <w:rsid w:val="00507091"/>
    <w:rsid w:val="0050732F"/>
    <w:rsid w:val="005074C4"/>
    <w:rsid w:val="005079CC"/>
    <w:rsid w:val="00507D4E"/>
    <w:rsid w:val="005109A0"/>
    <w:rsid w:val="0051171D"/>
    <w:rsid w:val="00511C8F"/>
    <w:rsid w:val="00513430"/>
    <w:rsid w:val="0051362C"/>
    <w:rsid w:val="00514799"/>
    <w:rsid w:val="00514BFF"/>
    <w:rsid w:val="00514ED9"/>
    <w:rsid w:val="0051533F"/>
    <w:rsid w:val="005159F4"/>
    <w:rsid w:val="00515B5F"/>
    <w:rsid w:val="00515DAE"/>
    <w:rsid w:val="00516EBF"/>
    <w:rsid w:val="0051746B"/>
    <w:rsid w:val="00520036"/>
    <w:rsid w:val="0052049D"/>
    <w:rsid w:val="00520A09"/>
    <w:rsid w:val="005212AF"/>
    <w:rsid w:val="0052201F"/>
    <w:rsid w:val="00522508"/>
    <w:rsid w:val="005227F5"/>
    <w:rsid w:val="00522E93"/>
    <w:rsid w:val="0052348B"/>
    <w:rsid w:val="0052482A"/>
    <w:rsid w:val="00525E4B"/>
    <w:rsid w:val="00525F89"/>
    <w:rsid w:val="00526058"/>
    <w:rsid w:val="00526519"/>
    <w:rsid w:val="00526A64"/>
    <w:rsid w:val="00526BC4"/>
    <w:rsid w:val="00526FD1"/>
    <w:rsid w:val="00527339"/>
    <w:rsid w:val="00527CB5"/>
    <w:rsid w:val="00527FA8"/>
    <w:rsid w:val="0053045B"/>
    <w:rsid w:val="0053211B"/>
    <w:rsid w:val="00533A61"/>
    <w:rsid w:val="00533D10"/>
    <w:rsid w:val="00533D37"/>
    <w:rsid w:val="00533DE6"/>
    <w:rsid w:val="00533E42"/>
    <w:rsid w:val="005344B5"/>
    <w:rsid w:val="00534C3C"/>
    <w:rsid w:val="00534DF6"/>
    <w:rsid w:val="00535E8C"/>
    <w:rsid w:val="00536041"/>
    <w:rsid w:val="00537150"/>
    <w:rsid w:val="00537507"/>
    <w:rsid w:val="00537B18"/>
    <w:rsid w:val="00537F42"/>
    <w:rsid w:val="00537F4D"/>
    <w:rsid w:val="00540B66"/>
    <w:rsid w:val="00540BAC"/>
    <w:rsid w:val="00541207"/>
    <w:rsid w:val="0054137A"/>
    <w:rsid w:val="00541B6A"/>
    <w:rsid w:val="00541E1E"/>
    <w:rsid w:val="00541F4E"/>
    <w:rsid w:val="00541FFA"/>
    <w:rsid w:val="005425B5"/>
    <w:rsid w:val="005431C7"/>
    <w:rsid w:val="005434F9"/>
    <w:rsid w:val="0054367D"/>
    <w:rsid w:val="0054388E"/>
    <w:rsid w:val="00543F6E"/>
    <w:rsid w:val="00544C19"/>
    <w:rsid w:val="00545114"/>
    <w:rsid w:val="00545A0D"/>
    <w:rsid w:val="005469A0"/>
    <w:rsid w:val="00546E99"/>
    <w:rsid w:val="00547358"/>
    <w:rsid w:val="005501BF"/>
    <w:rsid w:val="00550FF8"/>
    <w:rsid w:val="0055125A"/>
    <w:rsid w:val="00551327"/>
    <w:rsid w:val="005515A9"/>
    <w:rsid w:val="00551640"/>
    <w:rsid w:val="0055167A"/>
    <w:rsid w:val="00551C3B"/>
    <w:rsid w:val="00552449"/>
    <w:rsid w:val="00553AF5"/>
    <w:rsid w:val="00554967"/>
    <w:rsid w:val="00555F2F"/>
    <w:rsid w:val="00556926"/>
    <w:rsid w:val="00556CAB"/>
    <w:rsid w:val="00560B86"/>
    <w:rsid w:val="00562A7C"/>
    <w:rsid w:val="00563405"/>
    <w:rsid w:val="00564BBD"/>
    <w:rsid w:val="005678F0"/>
    <w:rsid w:val="00567B39"/>
    <w:rsid w:val="0057205B"/>
    <w:rsid w:val="0057298C"/>
    <w:rsid w:val="0057372F"/>
    <w:rsid w:val="00573BE8"/>
    <w:rsid w:val="005741C4"/>
    <w:rsid w:val="005742D7"/>
    <w:rsid w:val="005742E0"/>
    <w:rsid w:val="005744E6"/>
    <w:rsid w:val="005745B8"/>
    <w:rsid w:val="00574D57"/>
    <w:rsid w:val="005750FD"/>
    <w:rsid w:val="00575276"/>
    <w:rsid w:val="005762F5"/>
    <w:rsid w:val="00576688"/>
    <w:rsid w:val="00576ADB"/>
    <w:rsid w:val="00576F91"/>
    <w:rsid w:val="005808CD"/>
    <w:rsid w:val="00581B33"/>
    <w:rsid w:val="00581EBB"/>
    <w:rsid w:val="00582077"/>
    <w:rsid w:val="00582473"/>
    <w:rsid w:val="00582610"/>
    <w:rsid w:val="00582759"/>
    <w:rsid w:val="00583441"/>
    <w:rsid w:val="005837AB"/>
    <w:rsid w:val="0058443F"/>
    <w:rsid w:val="0058463D"/>
    <w:rsid w:val="005849C2"/>
    <w:rsid w:val="00585232"/>
    <w:rsid w:val="00585FB7"/>
    <w:rsid w:val="00586684"/>
    <w:rsid w:val="0058709D"/>
    <w:rsid w:val="00587C32"/>
    <w:rsid w:val="00587E75"/>
    <w:rsid w:val="005903CC"/>
    <w:rsid w:val="00590522"/>
    <w:rsid w:val="0059073A"/>
    <w:rsid w:val="00590DDD"/>
    <w:rsid w:val="00590E08"/>
    <w:rsid w:val="0059155C"/>
    <w:rsid w:val="005916A7"/>
    <w:rsid w:val="00592363"/>
    <w:rsid w:val="00592741"/>
    <w:rsid w:val="005932D3"/>
    <w:rsid w:val="0059368B"/>
    <w:rsid w:val="00593CB2"/>
    <w:rsid w:val="00594308"/>
    <w:rsid w:val="00594841"/>
    <w:rsid w:val="00594AAF"/>
    <w:rsid w:val="00595B38"/>
    <w:rsid w:val="00597F38"/>
    <w:rsid w:val="005A0F3C"/>
    <w:rsid w:val="005A1CF9"/>
    <w:rsid w:val="005A1D16"/>
    <w:rsid w:val="005A1F16"/>
    <w:rsid w:val="005A243A"/>
    <w:rsid w:val="005A27B7"/>
    <w:rsid w:val="005A2BF4"/>
    <w:rsid w:val="005A2F20"/>
    <w:rsid w:val="005A490C"/>
    <w:rsid w:val="005A4C2A"/>
    <w:rsid w:val="005A5633"/>
    <w:rsid w:val="005A56C3"/>
    <w:rsid w:val="005A5BF9"/>
    <w:rsid w:val="005A71B5"/>
    <w:rsid w:val="005A73AC"/>
    <w:rsid w:val="005A787B"/>
    <w:rsid w:val="005A78DC"/>
    <w:rsid w:val="005B0CCB"/>
    <w:rsid w:val="005B2ADD"/>
    <w:rsid w:val="005B2AE8"/>
    <w:rsid w:val="005B301D"/>
    <w:rsid w:val="005B334E"/>
    <w:rsid w:val="005B33D7"/>
    <w:rsid w:val="005B3F28"/>
    <w:rsid w:val="005B52B3"/>
    <w:rsid w:val="005B5915"/>
    <w:rsid w:val="005B5C71"/>
    <w:rsid w:val="005B68F9"/>
    <w:rsid w:val="005B7B5F"/>
    <w:rsid w:val="005C105E"/>
    <w:rsid w:val="005C1174"/>
    <w:rsid w:val="005C14AD"/>
    <w:rsid w:val="005C1871"/>
    <w:rsid w:val="005C1FE0"/>
    <w:rsid w:val="005C21D8"/>
    <w:rsid w:val="005C2909"/>
    <w:rsid w:val="005C3014"/>
    <w:rsid w:val="005C3143"/>
    <w:rsid w:val="005C38FB"/>
    <w:rsid w:val="005C4035"/>
    <w:rsid w:val="005C4344"/>
    <w:rsid w:val="005C4E25"/>
    <w:rsid w:val="005C59A6"/>
    <w:rsid w:val="005C6CB0"/>
    <w:rsid w:val="005C6FFB"/>
    <w:rsid w:val="005C70AD"/>
    <w:rsid w:val="005C7D83"/>
    <w:rsid w:val="005C7DD5"/>
    <w:rsid w:val="005D079E"/>
    <w:rsid w:val="005D0C6E"/>
    <w:rsid w:val="005D0EB6"/>
    <w:rsid w:val="005D25B5"/>
    <w:rsid w:val="005D2F66"/>
    <w:rsid w:val="005D37AB"/>
    <w:rsid w:val="005D3C4F"/>
    <w:rsid w:val="005D403D"/>
    <w:rsid w:val="005D46FD"/>
    <w:rsid w:val="005D4FA1"/>
    <w:rsid w:val="005D545E"/>
    <w:rsid w:val="005D547F"/>
    <w:rsid w:val="005D5C66"/>
    <w:rsid w:val="005D5FB0"/>
    <w:rsid w:val="005D6AE1"/>
    <w:rsid w:val="005D7BC7"/>
    <w:rsid w:val="005E0296"/>
    <w:rsid w:val="005E0A88"/>
    <w:rsid w:val="005E10B4"/>
    <w:rsid w:val="005E1DD7"/>
    <w:rsid w:val="005E2034"/>
    <w:rsid w:val="005E3551"/>
    <w:rsid w:val="005E44CC"/>
    <w:rsid w:val="005E46DF"/>
    <w:rsid w:val="005E48CC"/>
    <w:rsid w:val="005E5060"/>
    <w:rsid w:val="005E52D7"/>
    <w:rsid w:val="005E58B6"/>
    <w:rsid w:val="005E630D"/>
    <w:rsid w:val="005E6475"/>
    <w:rsid w:val="005F0409"/>
    <w:rsid w:val="005F19A0"/>
    <w:rsid w:val="005F1FBE"/>
    <w:rsid w:val="005F240C"/>
    <w:rsid w:val="005F3D0A"/>
    <w:rsid w:val="005F4463"/>
    <w:rsid w:val="005F4E6B"/>
    <w:rsid w:val="005F508E"/>
    <w:rsid w:val="005F514C"/>
    <w:rsid w:val="005F5530"/>
    <w:rsid w:val="005F5BAD"/>
    <w:rsid w:val="005F5CB2"/>
    <w:rsid w:val="005F5F43"/>
    <w:rsid w:val="005F6506"/>
    <w:rsid w:val="005F72CF"/>
    <w:rsid w:val="005F7EE3"/>
    <w:rsid w:val="006003A5"/>
    <w:rsid w:val="006008C1"/>
    <w:rsid w:val="00600C24"/>
    <w:rsid w:val="00600CDE"/>
    <w:rsid w:val="0060297E"/>
    <w:rsid w:val="00603253"/>
    <w:rsid w:val="00603893"/>
    <w:rsid w:val="00604004"/>
    <w:rsid w:val="00604549"/>
    <w:rsid w:val="006047B9"/>
    <w:rsid w:val="00605580"/>
    <w:rsid w:val="00605798"/>
    <w:rsid w:val="00607327"/>
    <w:rsid w:val="00607385"/>
    <w:rsid w:val="0060746E"/>
    <w:rsid w:val="006078B5"/>
    <w:rsid w:val="006118BE"/>
    <w:rsid w:val="00611FFA"/>
    <w:rsid w:val="00612085"/>
    <w:rsid w:val="00613112"/>
    <w:rsid w:val="006133E4"/>
    <w:rsid w:val="00613A04"/>
    <w:rsid w:val="0061436C"/>
    <w:rsid w:val="00615A3A"/>
    <w:rsid w:val="00615A8C"/>
    <w:rsid w:val="00615B5C"/>
    <w:rsid w:val="00615CB1"/>
    <w:rsid w:val="00615D77"/>
    <w:rsid w:val="00615D88"/>
    <w:rsid w:val="00615FF5"/>
    <w:rsid w:val="00616241"/>
    <w:rsid w:val="00616AB6"/>
    <w:rsid w:val="00616F0A"/>
    <w:rsid w:val="00617268"/>
    <w:rsid w:val="00617606"/>
    <w:rsid w:val="006178E4"/>
    <w:rsid w:val="00620B19"/>
    <w:rsid w:val="00621018"/>
    <w:rsid w:val="006215B3"/>
    <w:rsid w:val="0062196D"/>
    <w:rsid w:val="0062307E"/>
    <w:rsid w:val="00623124"/>
    <w:rsid w:val="006232EC"/>
    <w:rsid w:val="00623549"/>
    <w:rsid w:val="00623D52"/>
    <w:rsid w:val="006250CA"/>
    <w:rsid w:val="006255CB"/>
    <w:rsid w:val="00626F3C"/>
    <w:rsid w:val="00627509"/>
    <w:rsid w:val="00630E9A"/>
    <w:rsid w:val="006319C7"/>
    <w:rsid w:val="00631C9C"/>
    <w:rsid w:val="00632EAC"/>
    <w:rsid w:val="00634776"/>
    <w:rsid w:val="0063477E"/>
    <w:rsid w:val="006355F1"/>
    <w:rsid w:val="00642A52"/>
    <w:rsid w:val="00642A83"/>
    <w:rsid w:val="00643083"/>
    <w:rsid w:val="00643AD5"/>
    <w:rsid w:val="006458B7"/>
    <w:rsid w:val="00645E63"/>
    <w:rsid w:val="00647030"/>
    <w:rsid w:val="00647880"/>
    <w:rsid w:val="00647C6C"/>
    <w:rsid w:val="0065003C"/>
    <w:rsid w:val="00650161"/>
    <w:rsid w:val="006501ED"/>
    <w:rsid w:val="006515BC"/>
    <w:rsid w:val="00651A61"/>
    <w:rsid w:val="0065212D"/>
    <w:rsid w:val="0065236F"/>
    <w:rsid w:val="006531A5"/>
    <w:rsid w:val="00653A11"/>
    <w:rsid w:val="00653A14"/>
    <w:rsid w:val="00653BCF"/>
    <w:rsid w:val="006540E6"/>
    <w:rsid w:val="00655A5A"/>
    <w:rsid w:val="006560A7"/>
    <w:rsid w:val="006571F1"/>
    <w:rsid w:val="00657590"/>
    <w:rsid w:val="00657ECF"/>
    <w:rsid w:val="00657F0C"/>
    <w:rsid w:val="00660ECE"/>
    <w:rsid w:val="006610EE"/>
    <w:rsid w:val="00662FB7"/>
    <w:rsid w:val="00662FE8"/>
    <w:rsid w:val="006634B8"/>
    <w:rsid w:val="0066385E"/>
    <w:rsid w:val="00664270"/>
    <w:rsid w:val="006645D1"/>
    <w:rsid w:val="006663DD"/>
    <w:rsid w:val="006668D9"/>
    <w:rsid w:val="006676C8"/>
    <w:rsid w:val="006678AE"/>
    <w:rsid w:val="00670F1B"/>
    <w:rsid w:val="006710BE"/>
    <w:rsid w:val="00671124"/>
    <w:rsid w:val="0067123B"/>
    <w:rsid w:val="00672143"/>
    <w:rsid w:val="00673BF4"/>
    <w:rsid w:val="00675513"/>
    <w:rsid w:val="00676CF0"/>
    <w:rsid w:val="006774BF"/>
    <w:rsid w:val="0068019C"/>
    <w:rsid w:val="00680617"/>
    <w:rsid w:val="00680FE3"/>
    <w:rsid w:val="006811C4"/>
    <w:rsid w:val="00681373"/>
    <w:rsid w:val="0068173F"/>
    <w:rsid w:val="006826A1"/>
    <w:rsid w:val="006826B6"/>
    <w:rsid w:val="00682704"/>
    <w:rsid w:val="006827E2"/>
    <w:rsid w:val="006827FF"/>
    <w:rsid w:val="00683595"/>
    <w:rsid w:val="00683AF3"/>
    <w:rsid w:val="00684B10"/>
    <w:rsid w:val="00685100"/>
    <w:rsid w:val="0068748A"/>
    <w:rsid w:val="00687AC7"/>
    <w:rsid w:val="00690020"/>
    <w:rsid w:val="00690293"/>
    <w:rsid w:val="00690437"/>
    <w:rsid w:val="00690607"/>
    <w:rsid w:val="0069071A"/>
    <w:rsid w:val="00690D05"/>
    <w:rsid w:val="00690FDB"/>
    <w:rsid w:val="00691553"/>
    <w:rsid w:val="006918CE"/>
    <w:rsid w:val="00692272"/>
    <w:rsid w:val="0069233F"/>
    <w:rsid w:val="00692348"/>
    <w:rsid w:val="00692566"/>
    <w:rsid w:val="006933B6"/>
    <w:rsid w:val="00693FB3"/>
    <w:rsid w:val="006946CB"/>
    <w:rsid w:val="00694BC6"/>
    <w:rsid w:val="00696206"/>
    <w:rsid w:val="00696E55"/>
    <w:rsid w:val="00697B5F"/>
    <w:rsid w:val="00697D35"/>
    <w:rsid w:val="006A0925"/>
    <w:rsid w:val="006A25EB"/>
    <w:rsid w:val="006A2B88"/>
    <w:rsid w:val="006A2D38"/>
    <w:rsid w:val="006A3341"/>
    <w:rsid w:val="006A4DC4"/>
    <w:rsid w:val="006A546A"/>
    <w:rsid w:val="006A6D40"/>
    <w:rsid w:val="006A6FAD"/>
    <w:rsid w:val="006B0FF7"/>
    <w:rsid w:val="006B1826"/>
    <w:rsid w:val="006B1AAC"/>
    <w:rsid w:val="006B2D5B"/>
    <w:rsid w:val="006B2DA0"/>
    <w:rsid w:val="006B347E"/>
    <w:rsid w:val="006B3968"/>
    <w:rsid w:val="006B4275"/>
    <w:rsid w:val="006B4308"/>
    <w:rsid w:val="006B43E1"/>
    <w:rsid w:val="006B5110"/>
    <w:rsid w:val="006B5607"/>
    <w:rsid w:val="006B57BB"/>
    <w:rsid w:val="006B5A69"/>
    <w:rsid w:val="006B6EFB"/>
    <w:rsid w:val="006B7556"/>
    <w:rsid w:val="006C0965"/>
    <w:rsid w:val="006C130F"/>
    <w:rsid w:val="006C1905"/>
    <w:rsid w:val="006C292A"/>
    <w:rsid w:val="006C2CEB"/>
    <w:rsid w:val="006C3C0F"/>
    <w:rsid w:val="006C3E27"/>
    <w:rsid w:val="006C4072"/>
    <w:rsid w:val="006C4640"/>
    <w:rsid w:val="006D01E1"/>
    <w:rsid w:val="006D0769"/>
    <w:rsid w:val="006D1219"/>
    <w:rsid w:val="006D17F0"/>
    <w:rsid w:val="006D1893"/>
    <w:rsid w:val="006D206D"/>
    <w:rsid w:val="006D2ED0"/>
    <w:rsid w:val="006D3D85"/>
    <w:rsid w:val="006D3EA5"/>
    <w:rsid w:val="006D4EA2"/>
    <w:rsid w:val="006D6090"/>
    <w:rsid w:val="006D60A8"/>
    <w:rsid w:val="006D6D52"/>
    <w:rsid w:val="006D6F16"/>
    <w:rsid w:val="006D716D"/>
    <w:rsid w:val="006D75D9"/>
    <w:rsid w:val="006D7619"/>
    <w:rsid w:val="006D7ECA"/>
    <w:rsid w:val="006E02D0"/>
    <w:rsid w:val="006E0A5B"/>
    <w:rsid w:val="006E0BAF"/>
    <w:rsid w:val="006E0E66"/>
    <w:rsid w:val="006E10AC"/>
    <w:rsid w:val="006E174C"/>
    <w:rsid w:val="006E1827"/>
    <w:rsid w:val="006E1EC6"/>
    <w:rsid w:val="006E2EDD"/>
    <w:rsid w:val="006E51A2"/>
    <w:rsid w:val="006E5428"/>
    <w:rsid w:val="006E5D15"/>
    <w:rsid w:val="006E6A76"/>
    <w:rsid w:val="006E7205"/>
    <w:rsid w:val="006E7ED7"/>
    <w:rsid w:val="006F0DDF"/>
    <w:rsid w:val="006F15E8"/>
    <w:rsid w:val="006F199F"/>
    <w:rsid w:val="006F204A"/>
    <w:rsid w:val="006F34CD"/>
    <w:rsid w:val="006F4B70"/>
    <w:rsid w:val="006F4BD2"/>
    <w:rsid w:val="006F4D8E"/>
    <w:rsid w:val="006F5824"/>
    <w:rsid w:val="006F5B56"/>
    <w:rsid w:val="006F5FAE"/>
    <w:rsid w:val="006F6EF9"/>
    <w:rsid w:val="006F79E1"/>
    <w:rsid w:val="006F7BCF"/>
    <w:rsid w:val="007000B9"/>
    <w:rsid w:val="00700BC3"/>
    <w:rsid w:val="0070274F"/>
    <w:rsid w:val="00704032"/>
    <w:rsid w:val="00704B47"/>
    <w:rsid w:val="00705AD7"/>
    <w:rsid w:val="00705B9C"/>
    <w:rsid w:val="00706011"/>
    <w:rsid w:val="00707155"/>
    <w:rsid w:val="00707D33"/>
    <w:rsid w:val="007105CF"/>
    <w:rsid w:val="0071081E"/>
    <w:rsid w:val="00710F3E"/>
    <w:rsid w:val="007110E6"/>
    <w:rsid w:val="00711976"/>
    <w:rsid w:val="00711E95"/>
    <w:rsid w:val="007122A6"/>
    <w:rsid w:val="00712AAD"/>
    <w:rsid w:val="007130BE"/>
    <w:rsid w:val="00713D88"/>
    <w:rsid w:val="00714030"/>
    <w:rsid w:val="00714BB8"/>
    <w:rsid w:val="00714DB1"/>
    <w:rsid w:val="00715018"/>
    <w:rsid w:val="007155D3"/>
    <w:rsid w:val="0071712B"/>
    <w:rsid w:val="007177ED"/>
    <w:rsid w:val="0071798B"/>
    <w:rsid w:val="00721146"/>
    <w:rsid w:val="00721376"/>
    <w:rsid w:val="0072161A"/>
    <w:rsid w:val="0072162A"/>
    <w:rsid w:val="0072166D"/>
    <w:rsid w:val="007217AF"/>
    <w:rsid w:val="00721B2F"/>
    <w:rsid w:val="007228B7"/>
    <w:rsid w:val="00722F2D"/>
    <w:rsid w:val="00723550"/>
    <w:rsid w:val="007238F8"/>
    <w:rsid w:val="00724190"/>
    <w:rsid w:val="007242A5"/>
    <w:rsid w:val="007250C5"/>
    <w:rsid w:val="00725549"/>
    <w:rsid w:val="00726537"/>
    <w:rsid w:val="007266B0"/>
    <w:rsid w:val="0072744C"/>
    <w:rsid w:val="0072758A"/>
    <w:rsid w:val="007279B5"/>
    <w:rsid w:val="00727A14"/>
    <w:rsid w:val="007316B8"/>
    <w:rsid w:val="007326FC"/>
    <w:rsid w:val="00732A86"/>
    <w:rsid w:val="00732B5B"/>
    <w:rsid w:val="00732EEB"/>
    <w:rsid w:val="00733543"/>
    <w:rsid w:val="00733642"/>
    <w:rsid w:val="0073458F"/>
    <w:rsid w:val="00735463"/>
    <w:rsid w:val="00735675"/>
    <w:rsid w:val="00737D6A"/>
    <w:rsid w:val="00737DC9"/>
    <w:rsid w:val="00737F4D"/>
    <w:rsid w:val="00740B38"/>
    <w:rsid w:val="00741B82"/>
    <w:rsid w:val="00741F20"/>
    <w:rsid w:val="00742CA2"/>
    <w:rsid w:val="007441D2"/>
    <w:rsid w:val="00744B2E"/>
    <w:rsid w:val="00746D48"/>
    <w:rsid w:val="0074762D"/>
    <w:rsid w:val="00750E72"/>
    <w:rsid w:val="00751CA2"/>
    <w:rsid w:val="00752E3A"/>
    <w:rsid w:val="0075316C"/>
    <w:rsid w:val="00753A41"/>
    <w:rsid w:val="00753E6F"/>
    <w:rsid w:val="0075465A"/>
    <w:rsid w:val="00755AD7"/>
    <w:rsid w:val="00756127"/>
    <w:rsid w:val="007564BA"/>
    <w:rsid w:val="007566F7"/>
    <w:rsid w:val="00756864"/>
    <w:rsid w:val="0075717B"/>
    <w:rsid w:val="00757D50"/>
    <w:rsid w:val="00760CE8"/>
    <w:rsid w:val="00760FDB"/>
    <w:rsid w:val="0076116D"/>
    <w:rsid w:val="007611F6"/>
    <w:rsid w:val="00761697"/>
    <w:rsid w:val="007625EC"/>
    <w:rsid w:val="00763EB4"/>
    <w:rsid w:val="007658A6"/>
    <w:rsid w:val="00765B78"/>
    <w:rsid w:val="0076606C"/>
    <w:rsid w:val="00766BA8"/>
    <w:rsid w:val="00767D2A"/>
    <w:rsid w:val="00771F90"/>
    <w:rsid w:val="00772118"/>
    <w:rsid w:val="0077429E"/>
    <w:rsid w:val="00774904"/>
    <w:rsid w:val="00775996"/>
    <w:rsid w:val="007760C6"/>
    <w:rsid w:val="00776551"/>
    <w:rsid w:val="0077678F"/>
    <w:rsid w:val="0077688F"/>
    <w:rsid w:val="00776D43"/>
    <w:rsid w:val="00776FB7"/>
    <w:rsid w:val="00777922"/>
    <w:rsid w:val="00777E8A"/>
    <w:rsid w:val="00780248"/>
    <w:rsid w:val="0078028C"/>
    <w:rsid w:val="00781967"/>
    <w:rsid w:val="00782EDA"/>
    <w:rsid w:val="00782F72"/>
    <w:rsid w:val="0078358F"/>
    <w:rsid w:val="007838B9"/>
    <w:rsid w:val="007843C4"/>
    <w:rsid w:val="007851CF"/>
    <w:rsid w:val="00785802"/>
    <w:rsid w:val="007858E7"/>
    <w:rsid w:val="007873CE"/>
    <w:rsid w:val="007874F1"/>
    <w:rsid w:val="007901FD"/>
    <w:rsid w:val="007902B1"/>
    <w:rsid w:val="00791179"/>
    <w:rsid w:val="0079133C"/>
    <w:rsid w:val="00791704"/>
    <w:rsid w:val="00791981"/>
    <w:rsid w:val="007922C8"/>
    <w:rsid w:val="00792B38"/>
    <w:rsid w:val="00792D2E"/>
    <w:rsid w:val="00793519"/>
    <w:rsid w:val="00793A5C"/>
    <w:rsid w:val="00793B36"/>
    <w:rsid w:val="00794412"/>
    <w:rsid w:val="00794D0D"/>
    <w:rsid w:val="00794D86"/>
    <w:rsid w:val="0079553E"/>
    <w:rsid w:val="00796459"/>
    <w:rsid w:val="007973AE"/>
    <w:rsid w:val="00797420"/>
    <w:rsid w:val="00797B10"/>
    <w:rsid w:val="007A1749"/>
    <w:rsid w:val="007A2CF4"/>
    <w:rsid w:val="007A2D74"/>
    <w:rsid w:val="007A2E0F"/>
    <w:rsid w:val="007A324D"/>
    <w:rsid w:val="007A3DB5"/>
    <w:rsid w:val="007A3FD4"/>
    <w:rsid w:val="007A40D5"/>
    <w:rsid w:val="007A4403"/>
    <w:rsid w:val="007A4681"/>
    <w:rsid w:val="007A4CB6"/>
    <w:rsid w:val="007A7CB4"/>
    <w:rsid w:val="007B068E"/>
    <w:rsid w:val="007B1701"/>
    <w:rsid w:val="007B299C"/>
    <w:rsid w:val="007B2A97"/>
    <w:rsid w:val="007B38DD"/>
    <w:rsid w:val="007B3B82"/>
    <w:rsid w:val="007B3ED7"/>
    <w:rsid w:val="007B49B4"/>
    <w:rsid w:val="007B562A"/>
    <w:rsid w:val="007B5CB4"/>
    <w:rsid w:val="007B6146"/>
    <w:rsid w:val="007C0DCF"/>
    <w:rsid w:val="007C1E90"/>
    <w:rsid w:val="007C1FEB"/>
    <w:rsid w:val="007C25EB"/>
    <w:rsid w:val="007C3E80"/>
    <w:rsid w:val="007C428D"/>
    <w:rsid w:val="007C4726"/>
    <w:rsid w:val="007C52CB"/>
    <w:rsid w:val="007C5842"/>
    <w:rsid w:val="007C5C82"/>
    <w:rsid w:val="007C6231"/>
    <w:rsid w:val="007C7CD0"/>
    <w:rsid w:val="007D0176"/>
    <w:rsid w:val="007D07DD"/>
    <w:rsid w:val="007D108C"/>
    <w:rsid w:val="007D2815"/>
    <w:rsid w:val="007D2D14"/>
    <w:rsid w:val="007D301B"/>
    <w:rsid w:val="007D3572"/>
    <w:rsid w:val="007D3B92"/>
    <w:rsid w:val="007D4304"/>
    <w:rsid w:val="007D4A63"/>
    <w:rsid w:val="007D527B"/>
    <w:rsid w:val="007D703C"/>
    <w:rsid w:val="007D758C"/>
    <w:rsid w:val="007D7678"/>
    <w:rsid w:val="007D7A62"/>
    <w:rsid w:val="007D7C73"/>
    <w:rsid w:val="007D7C8D"/>
    <w:rsid w:val="007E0005"/>
    <w:rsid w:val="007E04A5"/>
    <w:rsid w:val="007E04EB"/>
    <w:rsid w:val="007E0B4A"/>
    <w:rsid w:val="007E1D9C"/>
    <w:rsid w:val="007E2ADC"/>
    <w:rsid w:val="007E2E19"/>
    <w:rsid w:val="007E3212"/>
    <w:rsid w:val="007E38F4"/>
    <w:rsid w:val="007E42C7"/>
    <w:rsid w:val="007E4304"/>
    <w:rsid w:val="007E4883"/>
    <w:rsid w:val="007E4E83"/>
    <w:rsid w:val="007E547F"/>
    <w:rsid w:val="007E57D0"/>
    <w:rsid w:val="007E63F4"/>
    <w:rsid w:val="007E774A"/>
    <w:rsid w:val="007E7FB0"/>
    <w:rsid w:val="007F16A2"/>
    <w:rsid w:val="007F2C5F"/>
    <w:rsid w:val="007F3467"/>
    <w:rsid w:val="007F400E"/>
    <w:rsid w:val="007F4F19"/>
    <w:rsid w:val="007F5B26"/>
    <w:rsid w:val="007F6A04"/>
    <w:rsid w:val="007F75CB"/>
    <w:rsid w:val="007F76E5"/>
    <w:rsid w:val="00801B6B"/>
    <w:rsid w:val="00802A3E"/>
    <w:rsid w:val="00802B57"/>
    <w:rsid w:val="0080308A"/>
    <w:rsid w:val="00803108"/>
    <w:rsid w:val="00803FF7"/>
    <w:rsid w:val="00804239"/>
    <w:rsid w:val="0080482F"/>
    <w:rsid w:val="00806712"/>
    <w:rsid w:val="0080673E"/>
    <w:rsid w:val="00806F56"/>
    <w:rsid w:val="008070DA"/>
    <w:rsid w:val="0080733B"/>
    <w:rsid w:val="00807372"/>
    <w:rsid w:val="00807B70"/>
    <w:rsid w:val="00807E4B"/>
    <w:rsid w:val="0081007A"/>
    <w:rsid w:val="00810661"/>
    <w:rsid w:val="00810DCC"/>
    <w:rsid w:val="00810FF3"/>
    <w:rsid w:val="008121BA"/>
    <w:rsid w:val="00812A05"/>
    <w:rsid w:val="00812B7C"/>
    <w:rsid w:val="0081357E"/>
    <w:rsid w:val="008136EA"/>
    <w:rsid w:val="00814444"/>
    <w:rsid w:val="00814AD0"/>
    <w:rsid w:val="00814EAF"/>
    <w:rsid w:val="00814EE4"/>
    <w:rsid w:val="008153EE"/>
    <w:rsid w:val="00815694"/>
    <w:rsid w:val="008156E3"/>
    <w:rsid w:val="00815CEE"/>
    <w:rsid w:val="00815D8C"/>
    <w:rsid w:val="008166DC"/>
    <w:rsid w:val="00816AAA"/>
    <w:rsid w:val="008171B9"/>
    <w:rsid w:val="008174CA"/>
    <w:rsid w:val="00821377"/>
    <w:rsid w:val="008213C5"/>
    <w:rsid w:val="00822B88"/>
    <w:rsid w:val="00823C60"/>
    <w:rsid w:val="00824242"/>
    <w:rsid w:val="008243D4"/>
    <w:rsid w:val="0082458B"/>
    <w:rsid w:val="00824F0F"/>
    <w:rsid w:val="00824F61"/>
    <w:rsid w:val="0082519B"/>
    <w:rsid w:val="0082540F"/>
    <w:rsid w:val="008256AB"/>
    <w:rsid w:val="00825973"/>
    <w:rsid w:val="008266A5"/>
    <w:rsid w:val="00827840"/>
    <w:rsid w:val="00827C35"/>
    <w:rsid w:val="00830131"/>
    <w:rsid w:val="00830BDE"/>
    <w:rsid w:val="00830CF2"/>
    <w:rsid w:val="00831200"/>
    <w:rsid w:val="00831893"/>
    <w:rsid w:val="00832381"/>
    <w:rsid w:val="00833946"/>
    <w:rsid w:val="00833EE5"/>
    <w:rsid w:val="00833F5E"/>
    <w:rsid w:val="00834B89"/>
    <w:rsid w:val="00834ED1"/>
    <w:rsid w:val="00835C34"/>
    <w:rsid w:val="00835CD4"/>
    <w:rsid w:val="0083669C"/>
    <w:rsid w:val="00836CDB"/>
    <w:rsid w:val="008371F9"/>
    <w:rsid w:val="00837CDB"/>
    <w:rsid w:val="00837E33"/>
    <w:rsid w:val="00840022"/>
    <w:rsid w:val="00840FB3"/>
    <w:rsid w:val="0084115C"/>
    <w:rsid w:val="00842067"/>
    <w:rsid w:val="00842ABE"/>
    <w:rsid w:val="00842B09"/>
    <w:rsid w:val="0084354B"/>
    <w:rsid w:val="00843705"/>
    <w:rsid w:val="008446DE"/>
    <w:rsid w:val="00845257"/>
    <w:rsid w:val="0084602F"/>
    <w:rsid w:val="0084610F"/>
    <w:rsid w:val="00847775"/>
    <w:rsid w:val="0085153B"/>
    <w:rsid w:val="00852694"/>
    <w:rsid w:val="00852FCA"/>
    <w:rsid w:val="00854627"/>
    <w:rsid w:val="00854DB8"/>
    <w:rsid w:val="00856328"/>
    <w:rsid w:val="00856621"/>
    <w:rsid w:val="008569F6"/>
    <w:rsid w:val="00860184"/>
    <w:rsid w:val="00860D8F"/>
    <w:rsid w:val="00860ECC"/>
    <w:rsid w:val="008614F8"/>
    <w:rsid w:val="00861910"/>
    <w:rsid w:val="00861A20"/>
    <w:rsid w:val="00861ED9"/>
    <w:rsid w:val="008628A0"/>
    <w:rsid w:val="008639CC"/>
    <w:rsid w:val="0086401C"/>
    <w:rsid w:val="008640F9"/>
    <w:rsid w:val="00864E80"/>
    <w:rsid w:val="008658A6"/>
    <w:rsid w:val="00865ABE"/>
    <w:rsid w:val="00866E62"/>
    <w:rsid w:val="008677FE"/>
    <w:rsid w:val="008717F4"/>
    <w:rsid w:val="00872047"/>
    <w:rsid w:val="0087249F"/>
    <w:rsid w:val="00872B4C"/>
    <w:rsid w:val="00873BC4"/>
    <w:rsid w:val="00875365"/>
    <w:rsid w:val="0087541D"/>
    <w:rsid w:val="00875669"/>
    <w:rsid w:val="00875748"/>
    <w:rsid w:val="008765FC"/>
    <w:rsid w:val="00877054"/>
    <w:rsid w:val="00877486"/>
    <w:rsid w:val="0087758D"/>
    <w:rsid w:val="00877BC4"/>
    <w:rsid w:val="008804F8"/>
    <w:rsid w:val="00880A9E"/>
    <w:rsid w:val="00880E71"/>
    <w:rsid w:val="00881099"/>
    <w:rsid w:val="00881154"/>
    <w:rsid w:val="00881404"/>
    <w:rsid w:val="00881485"/>
    <w:rsid w:val="00881CA6"/>
    <w:rsid w:val="00882145"/>
    <w:rsid w:val="008822B4"/>
    <w:rsid w:val="008835D0"/>
    <w:rsid w:val="00884784"/>
    <w:rsid w:val="00884EC4"/>
    <w:rsid w:val="00884FE0"/>
    <w:rsid w:val="00887121"/>
    <w:rsid w:val="00887696"/>
    <w:rsid w:val="008876A1"/>
    <w:rsid w:val="008903AE"/>
    <w:rsid w:val="00891393"/>
    <w:rsid w:val="00892057"/>
    <w:rsid w:val="00892EF8"/>
    <w:rsid w:val="00893197"/>
    <w:rsid w:val="008939B8"/>
    <w:rsid w:val="00895A0D"/>
    <w:rsid w:val="00895E5D"/>
    <w:rsid w:val="008961EA"/>
    <w:rsid w:val="00896431"/>
    <w:rsid w:val="008971AD"/>
    <w:rsid w:val="008A026C"/>
    <w:rsid w:val="008A19BC"/>
    <w:rsid w:val="008A3312"/>
    <w:rsid w:val="008A35C1"/>
    <w:rsid w:val="008A3C6F"/>
    <w:rsid w:val="008A4090"/>
    <w:rsid w:val="008A4260"/>
    <w:rsid w:val="008A4B3A"/>
    <w:rsid w:val="008A4D2F"/>
    <w:rsid w:val="008A4DB6"/>
    <w:rsid w:val="008A4E83"/>
    <w:rsid w:val="008A5917"/>
    <w:rsid w:val="008A60FF"/>
    <w:rsid w:val="008A6641"/>
    <w:rsid w:val="008A7736"/>
    <w:rsid w:val="008B1126"/>
    <w:rsid w:val="008B14A7"/>
    <w:rsid w:val="008B2920"/>
    <w:rsid w:val="008B3AD5"/>
    <w:rsid w:val="008B494B"/>
    <w:rsid w:val="008B58C2"/>
    <w:rsid w:val="008B6030"/>
    <w:rsid w:val="008B70BF"/>
    <w:rsid w:val="008B7B78"/>
    <w:rsid w:val="008C0329"/>
    <w:rsid w:val="008C0AE4"/>
    <w:rsid w:val="008C0C9B"/>
    <w:rsid w:val="008C0F1A"/>
    <w:rsid w:val="008C12C0"/>
    <w:rsid w:val="008C19BA"/>
    <w:rsid w:val="008C1DD1"/>
    <w:rsid w:val="008C4D0C"/>
    <w:rsid w:val="008C52AC"/>
    <w:rsid w:val="008C552C"/>
    <w:rsid w:val="008C5B2B"/>
    <w:rsid w:val="008C5D63"/>
    <w:rsid w:val="008C5EDC"/>
    <w:rsid w:val="008C7A40"/>
    <w:rsid w:val="008D0B9E"/>
    <w:rsid w:val="008D10DB"/>
    <w:rsid w:val="008D1AF8"/>
    <w:rsid w:val="008D324A"/>
    <w:rsid w:val="008D3DE6"/>
    <w:rsid w:val="008D4485"/>
    <w:rsid w:val="008D4D32"/>
    <w:rsid w:val="008D5A50"/>
    <w:rsid w:val="008D5BAB"/>
    <w:rsid w:val="008D6EDB"/>
    <w:rsid w:val="008D71A1"/>
    <w:rsid w:val="008E0165"/>
    <w:rsid w:val="008E0448"/>
    <w:rsid w:val="008E0543"/>
    <w:rsid w:val="008E0B0D"/>
    <w:rsid w:val="008E1091"/>
    <w:rsid w:val="008E14C5"/>
    <w:rsid w:val="008E158C"/>
    <w:rsid w:val="008E1BE9"/>
    <w:rsid w:val="008E1CBB"/>
    <w:rsid w:val="008E1EB9"/>
    <w:rsid w:val="008E22B8"/>
    <w:rsid w:val="008E31D9"/>
    <w:rsid w:val="008E3AF1"/>
    <w:rsid w:val="008E686B"/>
    <w:rsid w:val="008E71DB"/>
    <w:rsid w:val="008E7EB4"/>
    <w:rsid w:val="008F0288"/>
    <w:rsid w:val="008F092A"/>
    <w:rsid w:val="008F1150"/>
    <w:rsid w:val="008F1455"/>
    <w:rsid w:val="008F2B67"/>
    <w:rsid w:val="008F301F"/>
    <w:rsid w:val="008F3F16"/>
    <w:rsid w:val="008F55A4"/>
    <w:rsid w:val="008F5DF8"/>
    <w:rsid w:val="008F6504"/>
    <w:rsid w:val="008F6617"/>
    <w:rsid w:val="008F6B64"/>
    <w:rsid w:val="008F7117"/>
    <w:rsid w:val="008F757F"/>
    <w:rsid w:val="008F787C"/>
    <w:rsid w:val="00900425"/>
    <w:rsid w:val="0090095B"/>
    <w:rsid w:val="009017FE"/>
    <w:rsid w:val="00901A1C"/>
    <w:rsid w:val="0090243A"/>
    <w:rsid w:val="0090279F"/>
    <w:rsid w:val="00902F8A"/>
    <w:rsid w:val="009034F5"/>
    <w:rsid w:val="00903703"/>
    <w:rsid w:val="009038A9"/>
    <w:rsid w:val="00904908"/>
    <w:rsid w:val="00904CC2"/>
    <w:rsid w:val="00904D72"/>
    <w:rsid w:val="00905017"/>
    <w:rsid w:val="009057ED"/>
    <w:rsid w:val="0090674E"/>
    <w:rsid w:val="00907469"/>
    <w:rsid w:val="0090788C"/>
    <w:rsid w:val="009078A9"/>
    <w:rsid w:val="00907CE5"/>
    <w:rsid w:val="009103AF"/>
    <w:rsid w:val="00910575"/>
    <w:rsid w:val="00910AA5"/>
    <w:rsid w:val="00910DF1"/>
    <w:rsid w:val="009112F8"/>
    <w:rsid w:val="0091330E"/>
    <w:rsid w:val="0091365E"/>
    <w:rsid w:val="00913B47"/>
    <w:rsid w:val="00914597"/>
    <w:rsid w:val="00915590"/>
    <w:rsid w:val="0091658D"/>
    <w:rsid w:val="009170D7"/>
    <w:rsid w:val="00917BD8"/>
    <w:rsid w:val="0092003A"/>
    <w:rsid w:val="009203D6"/>
    <w:rsid w:val="009212AC"/>
    <w:rsid w:val="00921ADB"/>
    <w:rsid w:val="00921C98"/>
    <w:rsid w:val="00923FCA"/>
    <w:rsid w:val="0092403F"/>
    <w:rsid w:val="0092441A"/>
    <w:rsid w:val="0092472F"/>
    <w:rsid w:val="009250DB"/>
    <w:rsid w:val="0092530C"/>
    <w:rsid w:val="00926B0E"/>
    <w:rsid w:val="00931C27"/>
    <w:rsid w:val="00931E59"/>
    <w:rsid w:val="009322F2"/>
    <w:rsid w:val="00933A1A"/>
    <w:rsid w:val="00933BB5"/>
    <w:rsid w:val="009344AC"/>
    <w:rsid w:val="0093464A"/>
    <w:rsid w:val="0093503E"/>
    <w:rsid w:val="009360DD"/>
    <w:rsid w:val="0093725F"/>
    <w:rsid w:val="00937E33"/>
    <w:rsid w:val="00940717"/>
    <w:rsid w:val="00940E9C"/>
    <w:rsid w:val="009412C6"/>
    <w:rsid w:val="009446EA"/>
    <w:rsid w:val="00944801"/>
    <w:rsid w:val="009457CD"/>
    <w:rsid w:val="00947445"/>
    <w:rsid w:val="00947A3B"/>
    <w:rsid w:val="00947DBC"/>
    <w:rsid w:val="009502CE"/>
    <w:rsid w:val="0095220B"/>
    <w:rsid w:val="00952316"/>
    <w:rsid w:val="00952B7C"/>
    <w:rsid w:val="009530A9"/>
    <w:rsid w:val="00954215"/>
    <w:rsid w:val="00954A84"/>
    <w:rsid w:val="00955006"/>
    <w:rsid w:val="00955710"/>
    <w:rsid w:val="0095574E"/>
    <w:rsid w:val="009557EA"/>
    <w:rsid w:val="00955B61"/>
    <w:rsid w:val="009564A8"/>
    <w:rsid w:val="009566D2"/>
    <w:rsid w:val="00960198"/>
    <w:rsid w:val="00960A45"/>
    <w:rsid w:val="00961446"/>
    <w:rsid w:val="00961819"/>
    <w:rsid w:val="00961E57"/>
    <w:rsid w:val="0096225A"/>
    <w:rsid w:val="00963AD4"/>
    <w:rsid w:val="00963BBC"/>
    <w:rsid w:val="0096489F"/>
    <w:rsid w:val="00964A24"/>
    <w:rsid w:val="0096518C"/>
    <w:rsid w:val="0096520C"/>
    <w:rsid w:val="009664D7"/>
    <w:rsid w:val="009670A3"/>
    <w:rsid w:val="00967223"/>
    <w:rsid w:val="00967881"/>
    <w:rsid w:val="0096794B"/>
    <w:rsid w:val="00967D6D"/>
    <w:rsid w:val="00970DE2"/>
    <w:rsid w:val="00970FFF"/>
    <w:rsid w:val="0097238D"/>
    <w:rsid w:val="00972D70"/>
    <w:rsid w:val="0097429C"/>
    <w:rsid w:val="00974595"/>
    <w:rsid w:val="0097462D"/>
    <w:rsid w:val="009746D1"/>
    <w:rsid w:val="0097506E"/>
    <w:rsid w:val="00975CC7"/>
    <w:rsid w:val="00976874"/>
    <w:rsid w:val="0097690B"/>
    <w:rsid w:val="00976F41"/>
    <w:rsid w:val="00977683"/>
    <w:rsid w:val="00977E64"/>
    <w:rsid w:val="00980089"/>
    <w:rsid w:val="0098013A"/>
    <w:rsid w:val="009801E9"/>
    <w:rsid w:val="00980278"/>
    <w:rsid w:val="0098068D"/>
    <w:rsid w:val="00980F64"/>
    <w:rsid w:val="0098191E"/>
    <w:rsid w:val="009824CA"/>
    <w:rsid w:val="00982C2D"/>
    <w:rsid w:val="009836D0"/>
    <w:rsid w:val="00983E39"/>
    <w:rsid w:val="00984483"/>
    <w:rsid w:val="00984CC4"/>
    <w:rsid w:val="0098598C"/>
    <w:rsid w:val="00985B18"/>
    <w:rsid w:val="009866AE"/>
    <w:rsid w:val="00986810"/>
    <w:rsid w:val="00986A71"/>
    <w:rsid w:val="00986FF8"/>
    <w:rsid w:val="00987209"/>
    <w:rsid w:val="00987A29"/>
    <w:rsid w:val="00990DD9"/>
    <w:rsid w:val="00991371"/>
    <w:rsid w:val="009915F3"/>
    <w:rsid w:val="009916AD"/>
    <w:rsid w:val="00992B58"/>
    <w:rsid w:val="00992D1F"/>
    <w:rsid w:val="009931F7"/>
    <w:rsid w:val="009934B8"/>
    <w:rsid w:val="00993AA0"/>
    <w:rsid w:val="00993DE4"/>
    <w:rsid w:val="009942BE"/>
    <w:rsid w:val="00995128"/>
    <w:rsid w:val="009951F7"/>
    <w:rsid w:val="0099527E"/>
    <w:rsid w:val="009956FF"/>
    <w:rsid w:val="00996D01"/>
    <w:rsid w:val="00996D1C"/>
    <w:rsid w:val="0099708A"/>
    <w:rsid w:val="009A067C"/>
    <w:rsid w:val="009A20C6"/>
    <w:rsid w:val="009A3CE1"/>
    <w:rsid w:val="009A4121"/>
    <w:rsid w:val="009A546A"/>
    <w:rsid w:val="009A54DF"/>
    <w:rsid w:val="009A5F16"/>
    <w:rsid w:val="009B0332"/>
    <w:rsid w:val="009B06B3"/>
    <w:rsid w:val="009B245D"/>
    <w:rsid w:val="009B2C24"/>
    <w:rsid w:val="009B2FA4"/>
    <w:rsid w:val="009B40B4"/>
    <w:rsid w:val="009B4445"/>
    <w:rsid w:val="009B455C"/>
    <w:rsid w:val="009B4837"/>
    <w:rsid w:val="009B51BF"/>
    <w:rsid w:val="009B5F3F"/>
    <w:rsid w:val="009B6616"/>
    <w:rsid w:val="009B6B06"/>
    <w:rsid w:val="009B6BC2"/>
    <w:rsid w:val="009B6F16"/>
    <w:rsid w:val="009B7284"/>
    <w:rsid w:val="009B7332"/>
    <w:rsid w:val="009B73EC"/>
    <w:rsid w:val="009B78C4"/>
    <w:rsid w:val="009B7F8D"/>
    <w:rsid w:val="009C020B"/>
    <w:rsid w:val="009C09A4"/>
    <w:rsid w:val="009C0B23"/>
    <w:rsid w:val="009C1573"/>
    <w:rsid w:val="009C181D"/>
    <w:rsid w:val="009C1D6C"/>
    <w:rsid w:val="009C2DD9"/>
    <w:rsid w:val="009C3A0D"/>
    <w:rsid w:val="009C43E2"/>
    <w:rsid w:val="009C603D"/>
    <w:rsid w:val="009C614B"/>
    <w:rsid w:val="009C69FD"/>
    <w:rsid w:val="009C6B5D"/>
    <w:rsid w:val="009C6B7F"/>
    <w:rsid w:val="009C7129"/>
    <w:rsid w:val="009D0202"/>
    <w:rsid w:val="009D0769"/>
    <w:rsid w:val="009D0CCB"/>
    <w:rsid w:val="009D0F6C"/>
    <w:rsid w:val="009D1438"/>
    <w:rsid w:val="009D15E4"/>
    <w:rsid w:val="009D17C2"/>
    <w:rsid w:val="009D26AB"/>
    <w:rsid w:val="009D2D98"/>
    <w:rsid w:val="009D2ED2"/>
    <w:rsid w:val="009D45C5"/>
    <w:rsid w:val="009D5CF7"/>
    <w:rsid w:val="009E2872"/>
    <w:rsid w:val="009E3030"/>
    <w:rsid w:val="009E30F9"/>
    <w:rsid w:val="009E3BC9"/>
    <w:rsid w:val="009E4A14"/>
    <w:rsid w:val="009E5704"/>
    <w:rsid w:val="009E5DDF"/>
    <w:rsid w:val="009E70C0"/>
    <w:rsid w:val="009E73FC"/>
    <w:rsid w:val="009F0D5B"/>
    <w:rsid w:val="009F1A2B"/>
    <w:rsid w:val="009F1D5B"/>
    <w:rsid w:val="009F1DF7"/>
    <w:rsid w:val="009F304D"/>
    <w:rsid w:val="009F307D"/>
    <w:rsid w:val="009F34AE"/>
    <w:rsid w:val="009F3749"/>
    <w:rsid w:val="009F376B"/>
    <w:rsid w:val="009F3A16"/>
    <w:rsid w:val="009F3BEC"/>
    <w:rsid w:val="009F451D"/>
    <w:rsid w:val="009F5B4F"/>
    <w:rsid w:val="009F7946"/>
    <w:rsid w:val="00A02D0F"/>
    <w:rsid w:val="00A02F5B"/>
    <w:rsid w:val="00A04D90"/>
    <w:rsid w:val="00A04FCB"/>
    <w:rsid w:val="00A05E31"/>
    <w:rsid w:val="00A05E4F"/>
    <w:rsid w:val="00A065B7"/>
    <w:rsid w:val="00A0774C"/>
    <w:rsid w:val="00A07B42"/>
    <w:rsid w:val="00A109F3"/>
    <w:rsid w:val="00A10A94"/>
    <w:rsid w:val="00A10BE8"/>
    <w:rsid w:val="00A11BF8"/>
    <w:rsid w:val="00A120A5"/>
    <w:rsid w:val="00A12A90"/>
    <w:rsid w:val="00A139F6"/>
    <w:rsid w:val="00A14BC7"/>
    <w:rsid w:val="00A14BD6"/>
    <w:rsid w:val="00A1530B"/>
    <w:rsid w:val="00A16523"/>
    <w:rsid w:val="00A16D73"/>
    <w:rsid w:val="00A17773"/>
    <w:rsid w:val="00A17801"/>
    <w:rsid w:val="00A17983"/>
    <w:rsid w:val="00A207CA"/>
    <w:rsid w:val="00A21023"/>
    <w:rsid w:val="00A21216"/>
    <w:rsid w:val="00A217DE"/>
    <w:rsid w:val="00A232AC"/>
    <w:rsid w:val="00A243B6"/>
    <w:rsid w:val="00A24514"/>
    <w:rsid w:val="00A24DE2"/>
    <w:rsid w:val="00A252F2"/>
    <w:rsid w:val="00A26985"/>
    <w:rsid w:val="00A26A60"/>
    <w:rsid w:val="00A26BD0"/>
    <w:rsid w:val="00A27237"/>
    <w:rsid w:val="00A273E4"/>
    <w:rsid w:val="00A2781F"/>
    <w:rsid w:val="00A302D7"/>
    <w:rsid w:val="00A31043"/>
    <w:rsid w:val="00A3192B"/>
    <w:rsid w:val="00A31E66"/>
    <w:rsid w:val="00A325B5"/>
    <w:rsid w:val="00A328DA"/>
    <w:rsid w:val="00A3314C"/>
    <w:rsid w:val="00A33E35"/>
    <w:rsid w:val="00A33E4A"/>
    <w:rsid w:val="00A357F2"/>
    <w:rsid w:val="00A35FE5"/>
    <w:rsid w:val="00A36042"/>
    <w:rsid w:val="00A368E9"/>
    <w:rsid w:val="00A36FDC"/>
    <w:rsid w:val="00A371FA"/>
    <w:rsid w:val="00A374C8"/>
    <w:rsid w:val="00A37A66"/>
    <w:rsid w:val="00A37FB3"/>
    <w:rsid w:val="00A40AD6"/>
    <w:rsid w:val="00A417CA"/>
    <w:rsid w:val="00A41899"/>
    <w:rsid w:val="00A42A1C"/>
    <w:rsid w:val="00A43066"/>
    <w:rsid w:val="00A4353D"/>
    <w:rsid w:val="00A43BA2"/>
    <w:rsid w:val="00A43DA5"/>
    <w:rsid w:val="00A44033"/>
    <w:rsid w:val="00A45AEC"/>
    <w:rsid w:val="00A4626E"/>
    <w:rsid w:val="00A465FF"/>
    <w:rsid w:val="00A471C4"/>
    <w:rsid w:val="00A47A1D"/>
    <w:rsid w:val="00A47A54"/>
    <w:rsid w:val="00A50E31"/>
    <w:rsid w:val="00A51813"/>
    <w:rsid w:val="00A51FC5"/>
    <w:rsid w:val="00A51FFF"/>
    <w:rsid w:val="00A526F2"/>
    <w:rsid w:val="00A53506"/>
    <w:rsid w:val="00A53645"/>
    <w:rsid w:val="00A54966"/>
    <w:rsid w:val="00A54D83"/>
    <w:rsid w:val="00A558F7"/>
    <w:rsid w:val="00A568DD"/>
    <w:rsid w:val="00A5697C"/>
    <w:rsid w:val="00A56F48"/>
    <w:rsid w:val="00A60656"/>
    <w:rsid w:val="00A60EBA"/>
    <w:rsid w:val="00A61895"/>
    <w:rsid w:val="00A61B07"/>
    <w:rsid w:val="00A61B14"/>
    <w:rsid w:val="00A6241F"/>
    <w:rsid w:val="00A63008"/>
    <w:rsid w:val="00A63CDC"/>
    <w:rsid w:val="00A63D53"/>
    <w:rsid w:val="00A6611E"/>
    <w:rsid w:val="00A67623"/>
    <w:rsid w:val="00A6769B"/>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29"/>
    <w:rsid w:val="00A74895"/>
    <w:rsid w:val="00A75202"/>
    <w:rsid w:val="00A75B62"/>
    <w:rsid w:val="00A75FC4"/>
    <w:rsid w:val="00A778BB"/>
    <w:rsid w:val="00A779E1"/>
    <w:rsid w:val="00A814AF"/>
    <w:rsid w:val="00A81B80"/>
    <w:rsid w:val="00A81B88"/>
    <w:rsid w:val="00A82F0B"/>
    <w:rsid w:val="00A83127"/>
    <w:rsid w:val="00A8350B"/>
    <w:rsid w:val="00A846F3"/>
    <w:rsid w:val="00A84E99"/>
    <w:rsid w:val="00A86177"/>
    <w:rsid w:val="00A865BC"/>
    <w:rsid w:val="00A87939"/>
    <w:rsid w:val="00A87EC2"/>
    <w:rsid w:val="00A90079"/>
    <w:rsid w:val="00A90936"/>
    <w:rsid w:val="00A9156E"/>
    <w:rsid w:val="00A92455"/>
    <w:rsid w:val="00A930E9"/>
    <w:rsid w:val="00A9369A"/>
    <w:rsid w:val="00A93931"/>
    <w:rsid w:val="00A94104"/>
    <w:rsid w:val="00A9458A"/>
    <w:rsid w:val="00A94892"/>
    <w:rsid w:val="00A951DB"/>
    <w:rsid w:val="00A9571F"/>
    <w:rsid w:val="00A958D6"/>
    <w:rsid w:val="00A95AEF"/>
    <w:rsid w:val="00A961B6"/>
    <w:rsid w:val="00A96360"/>
    <w:rsid w:val="00A96C47"/>
    <w:rsid w:val="00A96ED7"/>
    <w:rsid w:val="00A9778A"/>
    <w:rsid w:val="00A97967"/>
    <w:rsid w:val="00AA0307"/>
    <w:rsid w:val="00AA0842"/>
    <w:rsid w:val="00AA10C3"/>
    <w:rsid w:val="00AA1349"/>
    <w:rsid w:val="00AA136C"/>
    <w:rsid w:val="00AA16F2"/>
    <w:rsid w:val="00AA18C6"/>
    <w:rsid w:val="00AA26F6"/>
    <w:rsid w:val="00AA293F"/>
    <w:rsid w:val="00AA2C7D"/>
    <w:rsid w:val="00AA3FC0"/>
    <w:rsid w:val="00AA3FC3"/>
    <w:rsid w:val="00AA431D"/>
    <w:rsid w:val="00AA57A5"/>
    <w:rsid w:val="00AA5FE6"/>
    <w:rsid w:val="00AA6039"/>
    <w:rsid w:val="00AA6734"/>
    <w:rsid w:val="00AA729C"/>
    <w:rsid w:val="00AB0DF0"/>
    <w:rsid w:val="00AB0F64"/>
    <w:rsid w:val="00AB1971"/>
    <w:rsid w:val="00AB1DAE"/>
    <w:rsid w:val="00AB217A"/>
    <w:rsid w:val="00AB2514"/>
    <w:rsid w:val="00AB265D"/>
    <w:rsid w:val="00AB2B77"/>
    <w:rsid w:val="00AB2CAA"/>
    <w:rsid w:val="00AB2ECE"/>
    <w:rsid w:val="00AB3957"/>
    <w:rsid w:val="00AB3B17"/>
    <w:rsid w:val="00AB3F75"/>
    <w:rsid w:val="00AB3F96"/>
    <w:rsid w:val="00AB4008"/>
    <w:rsid w:val="00AB4526"/>
    <w:rsid w:val="00AB465B"/>
    <w:rsid w:val="00AB4C9E"/>
    <w:rsid w:val="00AB4EF1"/>
    <w:rsid w:val="00AB51AA"/>
    <w:rsid w:val="00AB6015"/>
    <w:rsid w:val="00AB63F6"/>
    <w:rsid w:val="00AB6A6C"/>
    <w:rsid w:val="00AB6DF8"/>
    <w:rsid w:val="00AB6ED7"/>
    <w:rsid w:val="00AB6FEF"/>
    <w:rsid w:val="00AB76F7"/>
    <w:rsid w:val="00AC0118"/>
    <w:rsid w:val="00AC0DF9"/>
    <w:rsid w:val="00AC2ABA"/>
    <w:rsid w:val="00AC2BB4"/>
    <w:rsid w:val="00AC2DF8"/>
    <w:rsid w:val="00AC3DD7"/>
    <w:rsid w:val="00AC4104"/>
    <w:rsid w:val="00AC4144"/>
    <w:rsid w:val="00AC4C7A"/>
    <w:rsid w:val="00AC4E44"/>
    <w:rsid w:val="00AC4ED7"/>
    <w:rsid w:val="00AC524C"/>
    <w:rsid w:val="00AC56A9"/>
    <w:rsid w:val="00AC59E2"/>
    <w:rsid w:val="00AC5B25"/>
    <w:rsid w:val="00AC5F5B"/>
    <w:rsid w:val="00AC6235"/>
    <w:rsid w:val="00AC697F"/>
    <w:rsid w:val="00AC7214"/>
    <w:rsid w:val="00AD058B"/>
    <w:rsid w:val="00AD0FDB"/>
    <w:rsid w:val="00AD18E5"/>
    <w:rsid w:val="00AD2117"/>
    <w:rsid w:val="00AD2A13"/>
    <w:rsid w:val="00AD2AFB"/>
    <w:rsid w:val="00AD3DB5"/>
    <w:rsid w:val="00AD568E"/>
    <w:rsid w:val="00AD5F6E"/>
    <w:rsid w:val="00AD5F7B"/>
    <w:rsid w:val="00AD6CA7"/>
    <w:rsid w:val="00AD7755"/>
    <w:rsid w:val="00AE0192"/>
    <w:rsid w:val="00AE18B3"/>
    <w:rsid w:val="00AE18F2"/>
    <w:rsid w:val="00AE2B9E"/>
    <w:rsid w:val="00AE2D81"/>
    <w:rsid w:val="00AE2E53"/>
    <w:rsid w:val="00AE327C"/>
    <w:rsid w:val="00AE37BC"/>
    <w:rsid w:val="00AE37FA"/>
    <w:rsid w:val="00AE3B78"/>
    <w:rsid w:val="00AE4511"/>
    <w:rsid w:val="00AE4EB1"/>
    <w:rsid w:val="00AE5FB0"/>
    <w:rsid w:val="00AE619F"/>
    <w:rsid w:val="00AE64B0"/>
    <w:rsid w:val="00AE6811"/>
    <w:rsid w:val="00AE7A51"/>
    <w:rsid w:val="00AE7D0F"/>
    <w:rsid w:val="00AE7FA8"/>
    <w:rsid w:val="00AF05EB"/>
    <w:rsid w:val="00AF0E2B"/>
    <w:rsid w:val="00AF12B7"/>
    <w:rsid w:val="00AF1310"/>
    <w:rsid w:val="00AF1F04"/>
    <w:rsid w:val="00AF2653"/>
    <w:rsid w:val="00AF337A"/>
    <w:rsid w:val="00AF3E30"/>
    <w:rsid w:val="00AF47B2"/>
    <w:rsid w:val="00AF5631"/>
    <w:rsid w:val="00AF5AB8"/>
    <w:rsid w:val="00AF744F"/>
    <w:rsid w:val="00AF75BE"/>
    <w:rsid w:val="00AF78AE"/>
    <w:rsid w:val="00B001FE"/>
    <w:rsid w:val="00B0043D"/>
    <w:rsid w:val="00B009C4"/>
    <w:rsid w:val="00B00B80"/>
    <w:rsid w:val="00B00C96"/>
    <w:rsid w:val="00B018F9"/>
    <w:rsid w:val="00B01DB5"/>
    <w:rsid w:val="00B03248"/>
    <w:rsid w:val="00B03383"/>
    <w:rsid w:val="00B058D3"/>
    <w:rsid w:val="00B07147"/>
    <w:rsid w:val="00B10EBC"/>
    <w:rsid w:val="00B11936"/>
    <w:rsid w:val="00B12380"/>
    <w:rsid w:val="00B12C3B"/>
    <w:rsid w:val="00B12CB3"/>
    <w:rsid w:val="00B12ECD"/>
    <w:rsid w:val="00B12EE5"/>
    <w:rsid w:val="00B12EF7"/>
    <w:rsid w:val="00B13A98"/>
    <w:rsid w:val="00B13BE3"/>
    <w:rsid w:val="00B13EB4"/>
    <w:rsid w:val="00B14A85"/>
    <w:rsid w:val="00B14B92"/>
    <w:rsid w:val="00B14D91"/>
    <w:rsid w:val="00B155F0"/>
    <w:rsid w:val="00B175BE"/>
    <w:rsid w:val="00B17653"/>
    <w:rsid w:val="00B202C2"/>
    <w:rsid w:val="00B202F1"/>
    <w:rsid w:val="00B205A5"/>
    <w:rsid w:val="00B2075D"/>
    <w:rsid w:val="00B208CA"/>
    <w:rsid w:val="00B20AD6"/>
    <w:rsid w:val="00B223C8"/>
    <w:rsid w:val="00B2265E"/>
    <w:rsid w:val="00B256C0"/>
    <w:rsid w:val="00B25843"/>
    <w:rsid w:val="00B261A6"/>
    <w:rsid w:val="00B2681C"/>
    <w:rsid w:val="00B26B46"/>
    <w:rsid w:val="00B303C8"/>
    <w:rsid w:val="00B30B94"/>
    <w:rsid w:val="00B31899"/>
    <w:rsid w:val="00B325F5"/>
    <w:rsid w:val="00B32D75"/>
    <w:rsid w:val="00B32F88"/>
    <w:rsid w:val="00B33145"/>
    <w:rsid w:val="00B3361F"/>
    <w:rsid w:val="00B339CD"/>
    <w:rsid w:val="00B33FAF"/>
    <w:rsid w:val="00B342AC"/>
    <w:rsid w:val="00B34677"/>
    <w:rsid w:val="00B351A4"/>
    <w:rsid w:val="00B36DB4"/>
    <w:rsid w:val="00B371EC"/>
    <w:rsid w:val="00B37278"/>
    <w:rsid w:val="00B37648"/>
    <w:rsid w:val="00B37C4E"/>
    <w:rsid w:val="00B402EF"/>
    <w:rsid w:val="00B4108A"/>
    <w:rsid w:val="00B410F3"/>
    <w:rsid w:val="00B424C8"/>
    <w:rsid w:val="00B42710"/>
    <w:rsid w:val="00B4397A"/>
    <w:rsid w:val="00B4715D"/>
    <w:rsid w:val="00B4722A"/>
    <w:rsid w:val="00B500F9"/>
    <w:rsid w:val="00B51434"/>
    <w:rsid w:val="00B51715"/>
    <w:rsid w:val="00B51895"/>
    <w:rsid w:val="00B51EE6"/>
    <w:rsid w:val="00B5273D"/>
    <w:rsid w:val="00B528D7"/>
    <w:rsid w:val="00B52CD1"/>
    <w:rsid w:val="00B53B8E"/>
    <w:rsid w:val="00B5666E"/>
    <w:rsid w:val="00B56C54"/>
    <w:rsid w:val="00B571E8"/>
    <w:rsid w:val="00B573D5"/>
    <w:rsid w:val="00B57942"/>
    <w:rsid w:val="00B601C4"/>
    <w:rsid w:val="00B608DB"/>
    <w:rsid w:val="00B60A65"/>
    <w:rsid w:val="00B60F97"/>
    <w:rsid w:val="00B60FD5"/>
    <w:rsid w:val="00B6125D"/>
    <w:rsid w:val="00B61525"/>
    <w:rsid w:val="00B61D56"/>
    <w:rsid w:val="00B62156"/>
    <w:rsid w:val="00B6248D"/>
    <w:rsid w:val="00B6315E"/>
    <w:rsid w:val="00B636BF"/>
    <w:rsid w:val="00B63D99"/>
    <w:rsid w:val="00B6405A"/>
    <w:rsid w:val="00B645FD"/>
    <w:rsid w:val="00B64CB1"/>
    <w:rsid w:val="00B6559C"/>
    <w:rsid w:val="00B656AE"/>
    <w:rsid w:val="00B65AFC"/>
    <w:rsid w:val="00B65B07"/>
    <w:rsid w:val="00B66CC5"/>
    <w:rsid w:val="00B7077E"/>
    <w:rsid w:val="00B70B24"/>
    <w:rsid w:val="00B712A8"/>
    <w:rsid w:val="00B71576"/>
    <w:rsid w:val="00B71CD5"/>
    <w:rsid w:val="00B71D72"/>
    <w:rsid w:val="00B72CCF"/>
    <w:rsid w:val="00B73B13"/>
    <w:rsid w:val="00B73C8D"/>
    <w:rsid w:val="00B746A1"/>
    <w:rsid w:val="00B7692A"/>
    <w:rsid w:val="00B7737D"/>
    <w:rsid w:val="00B774A4"/>
    <w:rsid w:val="00B800C1"/>
    <w:rsid w:val="00B809FB"/>
    <w:rsid w:val="00B80FAF"/>
    <w:rsid w:val="00B815A7"/>
    <w:rsid w:val="00B81AA4"/>
    <w:rsid w:val="00B836ED"/>
    <w:rsid w:val="00B848C9"/>
    <w:rsid w:val="00B84F1F"/>
    <w:rsid w:val="00B8507B"/>
    <w:rsid w:val="00B85507"/>
    <w:rsid w:val="00B855C2"/>
    <w:rsid w:val="00B85D36"/>
    <w:rsid w:val="00B86ECF"/>
    <w:rsid w:val="00B87F41"/>
    <w:rsid w:val="00B90CD6"/>
    <w:rsid w:val="00B91211"/>
    <w:rsid w:val="00B9372B"/>
    <w:rsid w:val="00B93DC7"/>
    <w:rsid w:val="00B93E09"/>
    <w:rsid w:val="00B93E60"/>
    <w:rsid w:val="00B93EE0"/>
    <w:rsid w:val="00B9405E"/>
    <w:rsid w:val="00B96BFE"/>
    <w:rsid w:val="00B96FE5"/>
    <w:rsid w:val="00BA0940"/>
    <w:rsid w:val="00BA1034"/>
    <w:rsid w:val="00BA2143"/>
    <w:rsid w:val="00BA25A8"/>
    <w:rsid w:val="00BA267A"/>
    <w:rsid w:val="00BA2A53"/>
    <w:rsid w:val="00BA3230"/>
    <w:rsid w:val="00BA3A0E"/>
    <w:rsid w:val="00BA3D0B"/>
    <w:rsid w:val="00BA4ABB"/>
    <w:rsid w:val="00BA50AB"/>
    <w:rsid w:val="00BA5A0C"/>
    <w:rsid w:val="00BA64A9"/>
    <w:rsid w:val="00BB01E0"/>
    <w:rsid w:val="00BB0244"/>
    <w:rsid w:val="00BB19EF"/>
    <w:rsid w:val="00BB1FDB"/>
    <w:rsid w:val="00BB27F6"/>
    <w:rsid w:val="00BB308A"/>
    <w:rsid w:val="00BB3744"/>
    <w:rsid w:val="00BB3C1A"/>
    <w:rsid w:val="00BB4764"/>
    <w:rsid w:val="00BB4AD3"/>
    <w:rsid w:val="00BB506C"/>
    <w:rsid w:val="00BB53C4"/>
    <w:rsid w:val="00BB53C9"/>
    <w:rsid w:val="00BB698D"/>
    <w:rsid w:val="00BB69E5"/>
    <w:rsid w:val="00BB6A0E"/>
    <w:rsid w:val="00BB6B48"/>
    <w:rsid w:val="00BC0C41"/>
    <w:rsid w:val="00BC0DC6"/>
    <w:rsid w:val="00BC0E07"/>
    <w:rsid w:val="00BC475C"/>
    <w:rsid w:val="00BC51E0"/>
    <w:rsid w:val="00BC5ECA"/>
    <w:rsid w:val="00BC6541"/>
    <w:rsid w:val="00BC6B61"/>
    <w:rsid w:val="00BC6C53"/>
    <w:rsid w:val="00BC7315"/>
    <w:rsid w:val="00BC744E"/>
    <w:rsid w:val="00BD0932"/>
    <w:rsid w:val="00BD0BBE"/>
    <w:rsid w:val="00BD123B"/>
    <w:rsid w:val="00BD1838"/>
    <w:rsid w:val="00BD215F"/>
    <w:rsid w:val="00BD23C5"/>
    <w:rsid w:val="00BD256E"/>
    <w:rsid w:val="00BD27CD"/>
    <w:rsid w:val="00BD33B2"/>
    <w:rsid w:val="00BD4462"/>
    <w:rsid w:val="00BD4CF4"/>
    <w:rsid w:val="00BD5F9C"/>
    <w:rsid w:val="00BD5FDE"/>
    <w:rsid w:val="00BD6787"/>
    <w:rsid w:val="00BD6F7A"/>
    <w:rsid w:val="00BD7C66"/>
    <w:rsid w:val="00BD7DAB"/>
    <w:rsid w:val="00BE0482"/>
    <w:rsid w:val="00BE0695"/>
    <w:rsid w:val="00BE17B9"/>
    <w:rsid w:val="00BE1A0A"/>
    <w:rsid w:val="00BE201E"/>
    <w:rsid w:val="00BE25BC"/>
    <w:rsid w:val="00BE3569"/>
    <w:rsid w:val="00BE389E"/>
    <w:rsid w:val="00BE398D"/>
    <w:rsid w:val="00BE3D38"/>
    <w:rsid w:val="00BE447E"/>
    <w:rsid w:val="00BE459B"/>
    <w:rsid w:val="00BE5030"/>
    <w:rsid w:val="00BE609B"/>
    <w:rsid w:val="00BE6524"/>
    <w:rsid w:val="00BE65BE"/>
    <w:rsid w:val="00BE66B6"/>
    <w:rsid w:val="00BE77AD"/>
    <w:rsid w:val="00BE7B9E"/>
    <w:rsid w:val="00BE7E89"/>
    <w:rsid w:val="00BF076F"/>
    <w:rsid w:val="00BF0782"/>
    <w:rsid w:val="00BF09CE"/>
    <w:rsid w:val="00BF0BE6"/>
    <w:rsid w:val="00BF216C"/>
    <w:rsid w:val="00BF25F2"/>
    <w:rsid w:val="00BF26A0"/>
    <w:rsid w:val="00BF2C7B"/>
    <w:rsid w:val="00BF2D51"/>
    <w:rsid w:val="00BF329F"/>
    <w:rsid w:val="00BF3410"/>
    <w:rsid w:val="00BF3B07"/>
    <w:rsid w:val="00BF4231"/>
    <w:rsid w:val="00BF45A3"/>
    <w:rsid w:val="00BF5C32"/>
    <w:rsid w:val="00BF6405"/>
    <w:rsid w:val="00BF6DCD"/>
    <w:rsid w:val="00C00D5F"/>
    <w:rsid w:val="00C02C22"/>
    <w:rsid w:val="00C0397A"/>
    <w:rsid w:val="00C0411A"/>
    <w:rsid w:val="00C0469F"/>
    <w:rsid w:val="00C0490E"/>
    <w:rsid w:val="00C04EB8"/>
    <w:rsid w:val="00C0509A"/>
    <w:rsid w:val="00C0522E"/>
    <w:rsid w:val="00C05CD3"/>
    <w:rsid w:val="00C06B4F"/>
    <w:rsid w:val="00C10261"/>
    <w:rsid w:val="00C10A32"/>
    <w:rsid w:val="00C1271B"/>
    <w:rsid w:val="00C13585"/>
    <w:rsid w:val="00C13880"/>
    <w:rsid w:val="00C13FD9"/>
    <w:rsid w:val="00C14273"/>
    <w:rsid w:val="00C1675D"/>
    <w:rsid w:val="00C17342"/>
    <w:rsid w:val="00C17482"/>
    <w:rsid w:val="00C17D02"/>
    <w:rsid w:val="00C20238"/>
    <w:rsid w:val="00C20467"/>
    <w:rsid w:val="00C20C78"/>
    <w:rsid w:val="00C215D0"/>
    <w:rsid w:val="00C22799"/>
    <w:rsid w:val="00C228D9"/>
    <w:rsid w:val="00C232F1"/>
    <w:rsid w:val="00C23C48"/>
    <w:rsid w:val="00C250D3"/>
    <w:rsid w:val="00C2527C"/>
    <w:rsid w:val="00C2617F"/>
    <w:rsid w:val="00C2725F"/>
    <w:rsid w:val="00C27490"/>
    <w:rsid w:val="00C27CE1"/>
    <w:rsid w:val="00C310ED"/>
    <w:rsid w:val="00C311DA"/>
    <w:rsid w:val="00C32284"/>
    <w:rsid w:val="00C322EA"/>
    <w:rsid w:val="00C3234C"/>
    <w:rsid w:val="00C328DB"/>
    <w:rsid w:val="00C32AC2"/>
    <w:rsid w:val="00C32DF9"/>
    <w:rsid w:val="00C333BD"/>
    <w:rsid w:val="00C33BE7"/>
    <w:rsid w:val="00C33D77"/>
    <w:rsid w:val="00C3412C"/>
    <w:rsid w:val="00C34812"/>
    <w:rsid w:val="00C359D2"/>
    <w:rsid w:val="00C35C60"/>
    <w:rsid w:val="00C35E53"/>
    <w:rsid w:val="00C3684B"/>
    <w:rsid w:val="00C421B7"/>
    <w:rsid w:val="00C42235"/>
    <w:rsid w:val="00C424DD"/>
    <w:rsid w:val="00C42ED0"/>
    <w:rsid w:val="00C44D92"/>
    <w:rsid w:val="00C44D97"/>
    <w:rsid w:val="00C45C2A"/>
    <w:rsid w:val="00C45EAB"/>
    <w:rsid w:val="00C460E2"/>
    <w:rsid w:val="00C464F6"/>
    <w:rsid w:val="00C46602"/>
    <w:rsid w:val="00C46DD4"/>
    <w:rsid w:val="00C46FE3"/>
    <w:rsid w:val="00C476B0"/>
    <w:rsid w:val="00C47ABC"/>
    <w:rsid w:val="00C500C5"/>
    <w:rsid w:val="00C50936"/>
    <w:rsid w:val="00C511B9"/>
    <w:rsid w:val="00C511E0"/>
    <w:rsid w:val="00C51967"/>
    <w:rsid w:val="00C52045"/>
    <w:rsid w:val="00C524F5"/>
    <w:rsid w:val="00C53A87"/>
    <w:rsid w:val="00C543CC"/>
    <w:rsid w:val="00C54940"/>
    <w:rsid w:val="00C54B71"/>
    <w:rsid w:val="00C551A9"/>
    <w:rsid w:val="00C55D49"/>
    <w:rsid w:val="00C56034"/>
    <w:rsid w:val="00C57126"/>
    <w:rsid w:val="00C57800"/>
    <w:rsid w:val="00C57D8A"/>
    <w:rsid w:val="00C57EB0"/>
    <w:rsid w:val="00C60D7C"/>
    <w:rsid w:val="00C6125B"/>
    <w:rsid w:val="00C6193A"/>
    <w:rsid w:val="00C61D4A"/>
    <w:rsid w:val="00C62546"/>
    <w:rsid w:val="00C62BAD"/>
    <w:rsid w:val="00C63085"/>
    <w:rsid w:val="00C63980"/>
    <w:rsid w:val="00C639FD"/>
    <w:rsid w:val="00C63E32"/>
    <w:rsid w:val="00C641B9"/>
    <w:rsid w:val="00C643E9"/>
    <w:rsid w:val="00C64837"/>
    <w:rsid w:val="00C64FF0"/>
    <w:rsid w:val="00C670E1"/>
    <w:rsid w:val="00C671D7"/>
    <w:rsid w:val="00C6771C"/>
    <w:rsid w:val="00C6776A"/>
    <w:rsid w:val="00C709AD"/>
    <w:rsid w:val="00C70F99"/>
    <w:rsid w:val="00C71F57"/>
    <w:rsid w:val="00C720AF"/>
    <w:rsid w:val="00C73800"/>
    <w:rsid w:val="00C73A02"/>
    <w:rsid w:val="00C73CD0"/>
    <w:rsid w:val="00C74384"/>
    <w:rsid w:val="00C74598"/>
    <w:rsid w:val="00C74716"/>
    <w:rsid w:val="00C74CAB"/>
    <w:rsid w:val="00C74FE6"/>
    <w:rsid w:val="00C75265"/>
    <w:rsid w:val="00C753CF"/>
    <w:rsid w:val="00C758A1"/>
    <w:rsid w:val="00C75B14"/>
    <w:rsid w:val="00C75CAA"/>
    <w:rsid w:val="00C76383"/>
    <w:rsid w:val="00C76625"/>
    <w:rsid w:val="00C76816"/>
    <w:rsid w:val="00C777BC"/>
    <w:rsid w:val="00C80084"/>
    <w:rsid w:val="00C80395"/>
    <w:rsid w:val="00C8049E"/>
    <w:rsid w:val="00C80D42"/>
    <w:rsid w:val="00C80D62"/>
    <w:rsid w:val="00C81ADA"/>
    <w:rsid w:val="00C824C3"/>
    <w:rsid w:val="00C82545"/>
    <w:rsid w:val="00C82ACB"/>
    <w:rsid w:val="00C82F75"/>
    <w:rsid w:val="00C83183"/>
    <w:rsid w:val="00C8357F"/>
    <w:rsid w:val="00C83756"/>
    <w:rsid w:val="00C843DE"/>
    <w:rsid w:val="00C84604"/>
    <w:rsid w:val="00C852E7"/>
    <w:rsid w:val="00C8628A"/>
    <w:rsid w:val="00C865CD"/>
    <w:rsid w:val="00C865E0"/>
    <w:rsid w:val="00C86E86"/>
    <w:rsid w:val="00C877FD"/>
    <w:rsid w:val="00C87AB9"/>
    <w:rsid w:val="00C87E29"/>
    <w:rsid w:val="00C9037E"/>
    <w:rsid w:val="00C9223F"/>
    <w:rsid w:val="00C93759"/>
    <w:rsid w:val="00C9424E"/>
    <w:rsid w:val="00C943D1"/>
    <w:rsid w:val="00C9621E"/>
    <w:rsid w:val="00C9641A"/>
    <w:rsid w:val="00CA0783"/>
    <w:rsid w:val="00CA18DB"/>
    <w:rsid w:val="00CA220D"/>
    <w:rsid w:val="00CA22E2"/>
    <w:rsid w:val="00CA266E"/>
    <w:rsid w:val="00CA326D"/>
    <w:rsid w:val="00CA37ED"/>
    <w:rsid w:val="00CA3C3E"/>
    <w:rsid w:val="00CA51FB"/>
    <w:rsid w:val="00CA56C6"/>
    <w:rsid w:val="00CA5EA1"/>
    <w:rsid w:val="00CA66E7"/>
    <w:rsid w:val="00CA6ED9"/>
    <w:rsid w:val="00CB0153"/>
    <w:rsid w:val="00CB0560"/>
    <w:rsid w:val="00CB0672"/>
    <w:rsid w:val="00CB10CA"/>
    <w:rsid w:val="00CB1F70"/>
    <w:rsid w:val="00CB2049"/>
    <w:rsid w:val="00CB2087"/>
    <w:rsid w:val="00CB25C5"/>
    <w:rsid w:val="00CB282A"/>
    <w:rsid w:val="00CB2C08"/>
    <w:rsid w:val="00CB374F"/>
    <w:rsid w:val="00CB3F33"/>
    <w:rsid w:val="00CB3FA8"/>
    <w:rsid w:val="00CB414B"/>
    <w:rsid w:val="00CB4BD7"/>
    <w:rsid w:val="00CB4E62"/>
    <w:rsid w:val="00CB5D37"/>
    <w:rsid w:val="00CB7374"/>
    <w:rsid w:val="00CB79AA"/>
    <w:rsid w:val="00CB7A47"/>
    <w:rsid w:val="00CB7DB8"/>
    <w:rsid w:val="00CC0E89"/>
    <w:rsid w:val="00CC109A"/>
    <w:rsid w:val="00CC27A1"/>
    <w:rsid w:val="00CC29CE"/>
    <w:rsid w:val="00CC2EC6"/>
    <w:rsid w:val="00CC30AD"/>
    <w:rsid w:val="00CC32FB"/>
    <w:rsid w:val="00CC423C"/>
    <w:rsid w:val="00CC44AE"/>
    <w:rsid w:val="00CC4508"/>
    <w:rsid w:val="00CC4BAC"/>
    <w:rsid w:val="00CC5DFD"/>
    <w:rsid w:val="00CC6844"/>
    <w:rsid w:val="00CC6BCE"/>
    <w:rsid w:val="00CC6CA4"/>
    <w:rsid w:val="00CC78B2"/>
    <w:rsid w:val="00CC7C8D"/>
    <w:rsid w:val="00CD13E5"/>
    <w:rsid w:val="00CD1509"/>
    <w:rsid w:val="00CD1BD3"/>
    <w:rsid w:val="00CD21F6"/>
    <w:rsid w:val="00CD3320"/>
    <w:rsid w:val="00CD5225"/>
    <w:rsid w:val="00CD546E"/>
    <w:rsid w:val="00CD566A"/>
    <w:rsid w:val="00CD66F3"/>
    <w:rsid w:val="00CD6800"/>
    <w:rsid w:val="00CD6D6B"/>
    <w:rsid w:val="00CD74A8"/>
    <w:rsid w:val="00CD7BCB"/>
    <w:rsid w:val="00CE0402"/>
    <w:rsid w:val="00CE1480"/>
    <w:rsid w:val="00CE1D5B"/>
    <w:rsid w:val="00CE29FE"/>
    <w:rsid w:val="00CE2F84"/>
    <w:rsid w:val="00CE4E0F"/>
    <w:rsid w:val="00CE4F8B"/>
    <w:rsid w:val="00CE566C"/>
    <w:rsid w:val="00CE57F9"/>
    <w:rsid w:val="00CE597D"/>
    <w:rsid w:val="00CE5B61"/>
    <w:rsid w:val="00CE6665"/>
    <w:rsid w:val="00CE7370"/>
    <w:rsid w:val="00CE758E"/>
    <w:rsid w:val="00CE7998"/>
    <w:rsid w:val="00CE7E8B"/>
    <w:rsid w:val="00CE7EFD"/>
    <w:rsid w:val="00CE7F60"/>
    <w:rsid w:val="00CE7F74"/>
    <w:rsid w:val="00CF0260"/>
    <w:rsid w:val="00CF03A8"/>
    <w:rsid w:val="00CF0C5D"/>
    <w:rsid w:val="00CF0E59"/>
    <w:rsid w:val="00CF1908"/>
    <w:rsid w:val="00CF2F20"/>
    <w:rsid w:val="00CF32AB"/>
    <w:rsid w:val="00CF32EE"/>
    <w:rsid w:val="00CF359A"/>
    <w:rsid w:val="00CF35AB"/>
    <w:rsid w:val="00CF36DB"/>
    <w:rsid w:val="00CF3790"/>
    <w:rsid w:val="00CF3B66"/>
    <w:rsid w:val="00CF3B85"/>
    <w:rsid w:val="00CF40C5"/>
    <w:rsid w:val="00CF41DE"/>
    <w:rsid w:val="00CF4D36"/>
    <w:rsid w:val="00CF4F42"/>
    <w:rsid w:val="00CF57C7"/>
    <w:rsid w:val="00CF6AD3"/>
    <w:rsid w:val="00CF7537"/>
    <w:rsid w:val="00CF7976"/>
    <w:rsid w:val="00CF79F0"/>
    <w:rsid w:val="00CF7C58"/>
    <w:rsid w:val="00D007A8"/>
    <w:rsid w:val="00D01073"/>
    <w:rsid w:val="00D027D2"/>
    <w:rsid w:val="00D02C0F"/>
    <w:rsid w:val="00D03E58"/>
    <w:rsid w:val="00D0434F"/>
    <w:rsid w:val="00D05563"/>
    <w:rsid w:val="00D056BA"/>
    <w:rsid w:val="00D05FF7"/>
    <w:rsid w:val="00D076F5"/>
    <w:rsid w:val="00D07B94"/>
    <w:rsid w:val="00D07EC2"/>
    <w:rsid w:val="00D10248"/>
    <w:rsid w:val="00D10778"/>
    <w:rsid w:val="00D10FA1"/>
    <w:rsid w:val="00D11A6D"/>
    <w:rsid w:val="00D120CB"/>
    <w:rsid w:val="00D12DB9"/>
    <w:rsid w:val="00D13D5C"/>
    <w:rsid w:val="00D1443C"/>
    <w:rsid w:val="00D147F5"/>
    <w:rsid w:val="00D14849"/>
    <w:rsid w:val="00D14C5D"/>
    <w:rsid w:val="00D1544A"/>
    <w:rsid w:val="00D154BD"/>
    <w:rsid w:val="00D15929"/>
    <w:rsid w:val="00D1593F"/>
    <w:rsid w:val="00D15A2A"/>
    <w:rsid w:val="00D1644F"/>
    <w:rsid w:val="00D165FE"/>
    <w:rsid w:val="00D167C2"/>
    <w:rsid w:val="00D16868"/>
    <w:rsid w:val="00D16AD2"/>
    <w:rsid w:val="00D17080"/>
    <w:rsid w:val="00D204A7"/>
    <w:rsid w:val="00D20CD3"/>
    <w:rsid w:val="00D21563"/>
    <w:rsid w:val="00D2208F"/>
    <w:rsid w:val="00D228F5"/>
    <w:rsid w:val="00D22C71"/>
    <w:rsid w:val="00D230A5"/>
    <w:rsid w:val="00D23477"/>
    <w:rsid w:val="00D236C4"/>
    <w:rsid w:val="00D23873"/>
    <w:rsid w:val="00D23DCA"/>
    <w:rsid w:val="00D24CED"/>
    <w:rsid w:val="00D24FF5"/>
    <w:rsid w:val="00D25616"/>
    <w:rsid w:val="00D2571E"/>
    <w:rsid w:val="00D25DA1"/>
    <w:rsid w:val="00D26DED"/>
    <w:rsid w:val="00D2719E"/>
    <w:rsid w:val="00D27B3D"/>
    <w:rsid w:val="00D3051E"/>
    <w:rsid w:val="00D30F60"/>
    <w:rsid w:val="00D32097"/>
    <w:rsid w:val="00D32642"/>
    <w:rsid w:val="00D33009"/>
    <w:rsid w:val="00D33089"/>
    <w:rsid w:val="00D33ACD"/>
    <w:rsid w:val="00D3435A"/>
    <w:rsid w:val="00D348E4"/>
    <w:rsid w:val="00D35223"/>
    <w:rsid w:val="00D3618E"/>
    <w:rsid w:val="00D368D9"/>
    <w:rsid w:val="00D36C72"/>
    <w:rsid w:val="00D40DAB"/>
    <w:rsid w:val="00D42028"/>
    <w:rsid w:val="00D42139"/>
    <w:rsid w:val="00D422F8"/>
    <w:rsid w:val="00D42BCE"/>
    <w:rsid w:val="00D44270"/>
    <w:rsid w:val="00D446B0"/>
    <w:rsid w:val="00D44B7D"/>
    <w:rsid w:val="00D45F29"/>
    <w:rsid w:val="00D465AC"/>
    <w:rsid w:val="00D46FA1"/>
    <w:rsid w:val="00D47AEA"/>
    <w:rsid w:val="00D50397"/>
    <w:rsid w:val="00D50ADD"/>
    <w:rsid w:val="00D5147E"/>
    <w:rsid w:val="00D51890"/>
    <w:rsid w:val="00D519D8"/>
    <w:rsid w:val="00D51B09"/>
    <w:rsid w:val="00D528B0"/>
    <w:rsid w:val="00D53155"/>
    <w:rsid w:val="00D53BD8"/>
    <w:rsid w:val="00D542CF"/>
    <w:rsid w:val="00D54DB1"/>
    <w:rsid w:val="00D5568B"/>
    <w:rsid w:val="00D55C99"/>
    <w:rsid w:val="00D55CE6"/>
    <w:rsid w:val="00D5617B"/>
    <w:rsid w:val="00D56839"/>
    <w:rsid w:val="00D56A09"/>
    <w:rsid w:val="00D57C91"/>
    <w:rsid w:val="00D60671"/>
    <w:rsid w:val="00D60988"/>
    <w:rsid w:val="00D60C01"/>
    <w:rsid w:val="00D60E79"/>
    <w:rsid w:val="00D611F3"/>
    <w:rsid w:val="00D61897"/>
    <w:rsid w:val="00D61E6F"/>
    <w:rsid w:val="00D61F26"/>
    <w:rsid w:val="00D622AB"/>
    <w:rsid w:val="00D63046"/>
    <w:rsid w:val="00D64A10"/>
    <w:rsid w:val="00D64DC8"/>
    <w:rsid w:val="00D65BEE"/>
    <w:rsid w:val="00D65FCF"/>
    <w:rsid w:val="00D66AA4"/>
    <w:rsid w:val="00D670A1"/>
    <w:rsid w:val="00D675D0"/>
    <w:rsid w:val="00D675E8"/>
    <w:rsid w:val="00D6777B"/>
    <w:rsid w:val="00D7002B"/>
    <w:rsid w:val="00D701A1"/>
    <w:rsid w:val="00D7057A"/>
    <w:rsid w:val="00D71185"/>
    <w:rsid w:val="00D7118E"/>
    <w:rsid w:val="00D71198"/>
    <w:rsid w:val="00D712EA"/>
    <w:rsid w:val="00D71842"/>
    <w:rsid w:val="00D72E1A"/>
    <w:rsid w:val="00D7314B"/>
    <w:rsid w:val="00D73620"/>
    <w:rsid w:val="00D74956"/>
    <w:rsid w:val="00D74EF6"/>
    <w:rsid w:val="00D775E3"/>
    <w:rsid w:val="00D777E7"/>
    <w:rsid w:val="00D77CF8"/>
    <w:rsid w:val="00D8023F"/>
    <w:rsid w:val="00D80CC3"/>
    <w:rsid w:val="00D84A93"/>
    <w:rsid w:val="00D84E2B"/>
    <w:rsid w:val="00D84E3B"/>
    <w:rsid w:val="00D8542D"/>
    <w:rsid w:val="00D866E9"/>
    <w:rsid w:val="00D86E2A"/>
    <w:rsid w:val="00D87747"/>
    <w:rsid w:val="00D87CA4"/>
    <w:rsid w:val="00D87FAF"/>
    <w:rsid w:val="00D90384"/>
    <w:rsid w:val="00D90602"/>
    <w:rsid w:val="00D90C34"/>
    <w:rsid w:val="00D91420"/>
    <w:rsid w:val="00D92161"/>
    <w:rsid w:val="00D92E69"/>
    <w:rsid w:val="00D9337F"/>
    <w:rsid w:val="00D93529"/>
    <w:rsid w:val="00D93BE3"/>
    <w:rsid w:val="00D93CFF"/>
    <w:rsid w:val="00D94390"/>
    <w:rsid w:val="00D9542E"/>
    <w:rsid w:val="00D957EA"/>
    <w:rsid w:val="00D958E3"/>
    <w:rsid w:val="00D95A71"/>
    <w:rsid w:val="00D9622A"/>
    <w:rsid w:val="00D96DB6"/>
    <w:rsid w:val="00D974AE"/>
    <w:rsid w:val="00D9794F"/>
    <w:rsid w:val="00D97B51"/>
    <w:rsid w:val="00DA1461"/>
    <w:rsid w:val="00DA14B9"/>
    <w:rsid w:val="00DA19A1"/>
    <w:rsid w:val="00DA3CD0"/>
    <w:rsid w:val="00DA4624"/>
    <w:rsid w:val="00DA4BCA"/>
    <w:rsid w:val="00DA5F81"/>
    <w:rsid w:val="00DA669F"/>
    <w:rsid w:val="00DA711A"/>
    <w:rsid w:val="00DB05AF"/>
    <w:rsid w:val="00DB11AA"/>
    <w:rsid w:val="00DB14D9"/>
    <w:rsid w:val="00DB1AEC"/>
    <w:rsid w:val="00DB20BE"/>
    <w:rsid w:val="00DB292F"/>
    <w:rsid w:val="00DB3288"/>
    <w:rsid w:val="00DB480A"/>
    <w:rsid w:val="00DC0EC7"/>
    <w:rsid w:val="00DC1896"/>
    <w:rsid w:val="00DC19D1"/>
    <w:rsid w:val="00DC1D4C"/>
    <w:rsid w:val="00DC1ECF"/>
    <w:rsid w:val="00DC3F52"/>
    <w:rsid w:val="00DC4A9D"/>
    <w:rsid w:val="00DC4BF7"/>
    <w:rsid w:val="00DC4EE4"/>
    <w:rsid w:val="00DC50C2"/>
    <w:rsid w:val="00DC56FE"/>
    <w:rsid w:val="00DC5DB3"/>
    <w:rsid w:val="00DC66F7"/>
    <w:rsid w:val="00DC6E93"/>
    <w:rsid w:val="00DD0014"/>
    <w:rsid w:val="00DD05B9"/>
    <w:rsid w:val="00DD0B61"/>
    <w:rsid w:val="00DD1DCF"/>
    <w:rsid w:val="00DD2039"/>
    <w:rsid w:val="00DD2463"/>
    <w:rsid w:val="00DD2AE7"/>
    <w:rsid w:val="00DD2ED7"/>
    <w:rsid w:val="00DD356D"/>
    <w:rsid w:val="00DD41C8"/>
    <w:rsid w:val="00DD440F"/>
    <w:rsid w:val="00DD4536"/>
    <w:rsid w:val="00DD49BA"/>
    <w:rsid w:val="00DD509C"/>
    <w:rsid w:val="00DD6237"/>
    <w:rsid w:val="00DD6261"/>
    <w:rsid w:val="00DD63E1"/>
    <w:rsid w:val="00DD67B3"/>
    <w:rsid w:val="00DD721A"/>
    <w:rsid w:val="00DD7E33"/>
    <w:rsid w:val="00DE0B75"/>
    <w:rsid w:val="00DE135B"/>
    <w:rsid w:val="00DE249D"/>
    <w:rsid w:val="00DE260E"/>
    <w:rsid w:val="00DE31AD"/>
    <w:rsid w:val="00DE31D6"/>
    <w:rsid w:val="00DE5A7D"/>
    <w:rsid w:val="00DE6C64"/>
    <w:rsid w:val="00DE714A"/>
    <w:rsid w:val="00DE7AFC"/>
    <w:rsid w:val="00DE7C8E"/>
    <w:rsid w:val="00DF190C"/>
    <w:rsid w:val="00DF1AD6"/>
    <w:rsid w:val="00DF27CE"/>
    <w:rsid w:val="00DF2CB8"/>
    <w:rsid w:val="00DF2DC2"/>
    <w:rsid w:val="00DF3A66"/>
    <w:rsid w:val="00DF3E32"/>
    <w:rsid w:val="00DF3EB3"/>
    <w:rsid w:val="00DF4901"/>
    <w:rsid w:val="00DF4C02"/>
    <w:rsid w:val="00DF594C"/>
    <w:rsid w:val="00DF6F45"/>
    <w:rsid w:val="00DF6F94"/>
    <w:rsid w:val="00DF73AC"/>
    <w:rsid w:val="00DF7613"/>
    <w:rsid w:val="00E007C7"/>
    <w:rsid w:val="00E009AC"/>
    <w:rsid w:val="00E00AC9"/>
    <w:rsid w:val="00E01B31"/>
    <w:rsid w:val="00E0277E"/>
    <w:rsid w:val="00E0289A"/>
    <w:rsid w:val="00E03273"/>
    <w:rsid w:val="00E04581"/>
    <w:rsid w:val="00E0525F"/>
    <w:rsid w:val="00E052E0"/>
    <w:rsid w:val="00E063DF"/>
    <w:rsid w:val="00E06816"/>
    <w:rsid w:val="00E075B0"/>
    <w:rsid w:val="00E07845"/>
    <w:rsid w:val="00E07CAF"/>
    <w:rsid w:val="00E10B86"/>
    <w:rsid w:val="00E1190E"/>
    <w:rsid w:val="00E11BD7"/>
    <w:rsid w:val="00E11D4C"/>
    <w:rsid w:val="00E11EBF"/>
    <w:rsid w:val="00E12C31"/>
    <w:rsid w:val="00E13802"/>
    <w:rsid w:val="00E13DCD"/>
    <w:rsid w:val="00E142A9"/>
    <w:rsid w:val="00E1458E"/>
    <w:rsid w:val="00E1463B"/>
    <w:rsid w:val="00E14AB2"/>
    <w:rsid w:val="00E14E0C"/>
    <w:rsid w:val="00E14E59"/>
    <w:rsid w:val="00E152CF"/>
    <w:rsid w:val="00E158C4"/>
    <w:rsid w:val="00E15AA3"/>
    <w:rsid w:val="00E16123"/>
    <w:rsid w:val="00E16256"/>
    <w:rsid w:val="00E1634F"/>
    <w:rsid w:val="00E16DF8"/>
    <w:rsid w:val="00E20526"/>
    <w:rsid w:val="00E20EC0"/>
    <w:rsid w:val="00E21190"/>
    <w:rsid w:val="00E21452"/>
    <w:rsid w:val="00E216E5"/>
    <w:rsid w:val="00E21FCC"/>
    <w:rsid w:val="00E22412"/>
    <w:rsid w:val="00E226C7"/>
    <w:rsid w:val="00E2312F"/>
    <w:rsid w:val="00E237D1"/>
    <w:rsid w:val="00E23C5D"/>
    <w:rsid w:val="00E23D67"/>
    <w:rsid w:val="00E2410B"/>
    <w:rsid w:val="00E244B4"/>
    <w:rsid w:val="00E2520C"/>
    <w:rsid w:val="00E26189"/>
    <w:rsid w:val="00E27117"/>
    <w:rsid w:val="00E2767F"/>
    <w:rsid w:val="00E2793E"/>
    <w:rsid w:val="00E27F58"/>
    <w:rsid w:val="00E3095A"/>
    <w:rsid w:val="00E3135B"/>
    <w:rsid w:val="00E3173B"/>
    <w:rsid w:val="00E31EEB"/>
    <w:rsid w:val="00E332E4"/>
    <w:rsid w:val="00E3384C"/>
    <w:rsid w:val="00E33A02"/>
    <w:rsid w:val="00E34E86"/>
    <w:rsid w:val="00E3529A"/>
    <w:rsid w:val="00E35478"/>
    <w:rsid w:val="00E359CA"/>
    <w:rsid w:val="00E3648A"/>
    <w:rsid w:val="00E3673D"/>
    <w:rsid w:val="00E36819"/>
    <w:rsid w:val="00E36AFE"/>
    <w:rsid w:val="00E37D41"/>
    <w:rsid w:val="00E41835"/>
    <w:rsid w:val="00E41D7F"/>
    <w:rsid w:val="00E41E16"/>
    <w:rsid w:val="00E422E6"/>
    <w:rsid w:val="00E42776"/>
    <w:rsid w:val="00E428CA"/>
    <w:rsid w:val="00E4454D"/>
    <w:rsid w:val="00E45DD4"/>
    <w:rsid w:val="00E46389"/>
    <w:rsid w:val="00E46774"/>
    <w:rsid w:val="00E4791F"/>
    <w:rsid w:val="00E50821"/>
    <w:rsid w:val="00E50856"/>
    <w:rsid w:val="00E51369"/>
    <w:rsid w:val="00E53040"/>
    <w:rsid w:val="00E5332E"/>
    <w:rsid w:val="00E53541"/>
    <w:rsid w:val="00E53B6E"/>
    <w:rsid w:val="00E53C61"/>
    <w:rsid w:val="00E53E59"/>
    <w:rsid w:val="00E53E98"/>
    <w:rsid w:val="00E541F4"/>
    <w:rsid w:val="00E5497D"/>
    <w:rsid w:val="00E54ADA"/>
    <w:rsid w:val="00E550A8"/>
    <w:rsid w:val="00E55C97"/>
    <w:rsid w:val="00E55EFF"/>
    <w:rsid w:val="00E57C85"/>
    <w:rsid w:val="00E57F39"/>
    <w:rsid w:val="00E6000F"/>
    <w:rsid w:val="00E60466"/>
    <w:rsid w:val="00E604F7"/>
    <w:rsid w:val="00E60523"/>
    <w:rsid w:val="00E60C67"/>
    <w:rsid w:val="00E60D4C"/>
    <w:rsid w:val="00E610A9"/>
    <w:rsid w:val="00E610B4"/>
    <w:rsid w:val="00E61418"/>
    <w:rsid w:val="00E624CB"/>
    <w:rsid w:val="00E62EA2"/>
    <w:rsid w:val="00E63323"/>
    <w:rsid w:val="00E64767"/>
    <w:rsid w:val="00E65088"/>
    <w:rsid w:val="00E654FF"/>
    <w:rsid w:val="00E65982"/>
    <w:rsid w:val="00E65EE0"/>
    <w:rsid w:val="00E66160"/>
    <w:rsid w:val="00E6664D"/>
    <w:rsid w:val="00E66C6F"/>
    <w:rsid w:val="00E677B2"/>
    <w:rsid w:val="00E678A6"/>
    <w:rsid w:val="00E67F31"/>
    <w:rsid w:val="00E70206"/>
    <w:rsid w:val="00E70DE5"/>
    <w:rsid w:val="00E7119F"/>
    <w:rsid w:val="00E71E31"/>
    <w:rsid w:val="00E71EBA"/>
    <w:rsid w:val="00E725B1"/>
    <w:rsid w:val="00E73012"/>
    <w:rsid w:val="00E74072"/>
    <w:rsid w:val="00E750D5"/>
    <w:rsid w:val="00E7696A"/>
    <w:rsid w:val="00E76A56"/>
    <w:rsid w:val="00E76B97"/>
    <w:rsid w:val="00E76FD3"/>
    <w:rsid w:val="00E7718E"/>
    <w:rsid w:val="00E777AF"/>
    <w:rsid w:val="00E777F8"/>
    <w:rsid w:val="00E807B4"/>
    <w:rsid w:val="00E80F54"/>
    <w:rsid w:val="00E83E51"/>
    <w:rsid w:val="00E84296"/>
    <w:rsid w:val="00E845F3"/>
    <w:rsid w:val="00E84B03"/>
    <w:rsid w:val="00E84FCE"/>
    <w:rsid w:val="00E855E8"/>
    <w:rsid w:val="00E861A1"/>
    <w:rsid w:val="00E867D4"/>
    <w:rsid w:val="00E87B10"/>
    <w:rsid w:val="00E902AB"/>
    <w:rsid w:val="00E90C53"/>
    <w:rsid w:val="00E90F78"/>
    <w:rsid w:val="00E91A36"/>
    <w:rsid w:val="00E91DF8"/>
    <w:rsid w:val="00E922EA"/>
    <w:rsid w:val="00E92A40"/>
    <w:rsid w:val="00E9308B"/>
    <w:rsid w:val="00E930D4"/>
    <w:rsid w:val="00E93471"/>
    <w:rsid w:val="00E93FE3"/>
    <w:rsid w:val="00E958B5"/>
    <w:rsid w:val="00E95A75"/>
    <w:rsid w:val="00E95EBC"/>
    <w:rsid w:val="00E9633B"/>
    <w:rsid w:val="00E979D2"/>
    <w:rsid w:val="00EA0256"/>
    <w:rsid w:val="00EA0B5B"/>
    <w:rsid w:val="00EA1043"/>
    <w:rsid w:val="00EA10F1"/>
    <w:rsid w:val="00EA15EC"/>
    <w:rsid w:val="00EA1E56"/>
    <w:rsid w:val="00EA2847"/>
    <w:rsid w:val="00EA28FB"/>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91A"/>
    <w:rsid w:val="00EA7A98"/>
    <w:rsid w:val="00EB17AD"/>
    <w:rsid w:val="00EB25B1"/>
    <w:rsid w:val="00EB3120"/>
    <w:rsid w:val="00EB3D50"/>
    <w:rsid w:val="00EB45BB"/>
    <w:rsid w:val="00EB4862"/>
    <w:rsid w:val="00EB4FEF"/>
    <w:rsid w:val="00EB71DB"/>
    <w:rsid w:val="00EB77F5"/>
    <w:rsid w:val="00EC03BE"/>
    <w:rsid w:val="00EC04C9"/>
    <w:rsid w:val="00EC07DE"/>
    <w:rsid w:val="00EC10A9"/>
    <w:rsid w:val="00EC1B2D"/>
    <w:rsid w:val="00EC1D3E"/>
    <w:rsid w:val="00EC2382"/>
    <w:rsid w:val="00EC2B89"/>
    <w:rsid w:val="00EC3AEF"/>
    <w:rsid w:val="00EC3F42"/>
    <w:rsid w:val="00EC3F7C"/>
    <w:rsid w:val="00EC4AF7"/>
    <w:rsid w:val="00EC5F42"/>
    <w:rsid w:val="00EC602A"/>
    <w:rsid w:val="00EC615E"/>
    <w:rsid w:val="00EC6431"/>
    <w:rsid w:val="00EC7B50"/>
    <w:rsid w:val="00EC7D1E"/>
    <w:rsid w:val="00ED00DE"/>
    <w:rsid w:val="00ED048F"/>
    <w:rsid w:val="00ED0A8D"/>
    <w:rsid w:val="00ED259F"/>
    <w:rsid w:val="00ED2688"/>
    <w:rsid w:val="00ED4FD5"/>
    <w:rsid w:val="00ED7A41"/>
    <w:rsid w:val="00EE025F"/>
    <w:rsid w:val="00EE082D"/>
    <w:rsid w:val="00EE08C5"/>
    <w:rsid w:val="00EE0C1E"/>
    <w:rsid w:val="00EE123E"/>
    <w:rsid w:val="00EE4508"/>
    <w:rsid w:val="00EE4827"/>
    <w:rsid w:val="00EE4B40"/>
    <w:rsid w:val="00EE4C19"/>
    <w:rsid w:val="00EE5469"/>
    <w:rsid w:val="00EE629B"/>
    <w:rsid w:val="00EE6E5D"/>
    <w:rsid w:val="00EE6F4C"/>
    <w:rsid w:val="00EF0310"/>
    <w:rsid w:val="00EF0701"/>
    <w:rsid w:val="00EF0D07"/>
    <w:rsid w:val="00EF0DBD"/>
    <w:rsid w:val="00EF12AC"/>
    <w:rsid w:val="00EF21E2"/>
    <w:rsid w:val="00EF2669"/>
    <w:rsid w:val="00EF2A05"/>
    <w:rsid w:val="00EF2C8E"/>
    <w:rsid w:val="00EF2D06"/>
    <w:rsid w:val="00EF2E76"/>
    <w:rsid w:val="00EF3130"/>
    <w:rsid w:val="00EF4B18"/>
    <w:rsid w:val="00EF5EE4"/>
    <w:rsid w:val="00EF6424"/>
    <w:rsid w:val="00EF6733"/>
    <w:rsid w:val="00EF692D"/>
    <w:rsid w:val="00EF6A09"/>
    <w:rsid w:val="00EF6CDF"/>
    <w:rsid w:val="00EF72A1"/>
    <w:rsid w:val="00EF738B"/>
    <w:rsid w:val="00EF79CE"/>
    <w:rsid w:val="00F01548"/>
    <w:rsid w:val="00F01774"/>
    <w:rsid w:val="00F01D83"/>
    <w:rsid w:val="00F01FD0"/>
    <w:rsid w:val="00F02C77"/>
    <w:rsid w:val="00F0320E"/>
    <w:rsid w:val="00F0328A"/>
    <w:rsid w:val="00F032EB"/>
    <w:rsid w:val="00F0387E"/>
    <w:rsid w:val="00F03B43"/>
    <w:rsid w:val="00F03D13"/>
    <w:rsid w:val="00F040F9"/>
    <w:rsid w:val="00F04156"/>
    <w:rsid w:val="00F049EC"/>
    <w:rsid w:val="00F05193"/>
    <w:rsid w:val="00F06541"/>
    <w:rsid w:val="00F070D6"/>
    <w:rsid w:val="00F07B6C"/>
    <w:rsid w:val="00F07EC4"/>
    <w:rsid w:val="00F07F4E"/>
    <w:rsid w:val="00F11730"/>
    <w:rsid w:val="00F11CD8"/>
    <w:rsid w:val="00F12139"/>
    <w:rsid w:val="00F133E1"/>
    <w:rsid w:val="00F13F7A"/>
    <w:rsid w:val="00F1444B"/>
    <w:rsid w:val="00F152CC"/>
    <w:rsid w:val="00F15D19"/>
    <w:rsid w:val="00F16046"/>
    <w:rsid w:val="00F161BA"/>
    <w:rsid w:val="00F16644"/>
    <w:rsid w:val="00F16ED6"/>
    <w:rsid w:val="00F173FD"/>
    <w:rsid w:val="00F1798B"/>
    <w:rsid w:val="00F17A3F"/>
    <w:rsid w:val="00F20249"/>
    <w:rsid w:val="00F2058B"/>
    <w:rsid w:val="00F20DB4"/>
    <w:rsid w:val="00F212BA"/>
    <w:rsid w:val="00F22471"/>
    <w:rsid w:val="00F229F9"/>
    <w:rsid w:val="00F22E65"/>
    <w:rsid w:val="00F2372B"/>
    <w:rsid w:val="00F2399A"/>
    <w:rsid w:val="00F244C2"/>
    <w:rsid w:val="00F24927"/>
    <w:rsid w:val="00F24A76"/>
    <w:rsid w:val="00F24D89"/>
    <w:rsid w:val="00F25EF9"/>
    <w:rsid w:val="00F271D4"/>
    <w:rsid w:val="00F2776C"/>
    <w:rsid w:val="00F27C7B"/>
    <w:rsid w:val="00F30825"/>
    <w:rsid w:val="00F30B86"/>
    <w:rsid w:val="00F3162C"/>
    <w:rsid w:val="00F31D37"/>
    <w:rsid w:val="00F32027"/>
    <w:rsid w:val="00F32039"/>
    <w:rsid w:val="00F32A82"/>
    <w:rsid w:val="00F32FFD"/>
    <w:rsid w:val="00F349D1"/>
    <w:rsid w:val="00F34BD1"/>
    <w:rsid w:val="00F3530F"/>
    <w:rsid w:val="00F3586F"/>
    <w:rsid w:val="00F35CFC"/>
    <w:rsid w:val="00F370D1"/>
    <w:rsid w:val="00F3799F"/>
    <w:rsid w:val="00F40069"/>
    <w:rsid w:val="00F40482"/>
    <w:rsid w:val="00F405FE"/>
    <w:rsid w:val="00F4103C"/>
    <w:rsid w:val="00F4106F"/>
    <w:rsid w:val="00F41185"/>
    <w:rsid w:val="00F417EA"/>
    <w:rsid w:val="00F41FE3"/>
    <w:rsid w:val="00F42037"/>
    <w:rsid w:val="00F43492"/>
    <w:rsid w:val="00F43E02"/>
    <w:rsid w:val="00F45E58"/>
    <w:rsid w:val="00F46173"/>
    <w:rsid w:val="00F4631D"/>
    <w:rsid w:val="00F46EF2"/>
    <w:rsid w:val="00F47191"/>
    <w:rsid w:val="00F4738C"/>
    <w:rsid w:val="00F47ABE"/>
    <w:rsid w:val="00F50EF1"/>
    <w:rsid w:val="00F5104B"/>
    <w:rsid w:val="00F5180C"/>
    <w:rsid w:val="00F525F5"/>
    <w:rsid w:val="00F52C01"/>
    <w:rsid w:val="00F53644"/>
    <w:rsid w:val="00F53CD3"/>
    <w:rsid w:val="00F5453A"/>
    <w:rsid w:val="00F54BC2"/>
    <w:rsid w:val="00F55138"/>
    <w:rsid w:val="00F55945"/>
    <w:rsid w:val="00F5607A"/>
    <w:rsid w:val="00F56484"/>
    <w:rsid w:val="00F56936"/>
    <w:rsid w:val="00F569B9"/>
    <w:rsid w:val="00F56C05"/>
    <w:rsid w:val="00F56E59"/>
    <w:rsid w:val="00F57F3C"/>
    <w:rsid w:val="00F6097F"/>
    <w:rsid w:val="00F60B3A"/>
    <w:rsid w:val="00F60E5D"/>
    <w:rsid w:val="00F60EFB"/>
    <w:rsid w:val="00F61161"/>
    <w:rsid w:val="00F6182E"/>
    <w:rsid w:val="00F626D6"/>
    <w:rsid w:val="00F628A6"/>
    <w:rsid w:val="00F62A18"/>
    <w:rsid w:val="00F62EA8"/>
    <w:rsid w:val="00F632FA"/>
    <w:rsid w:val="00F637A3"/>
    <w:rsid w:val="00F63B0A"/>
    <w:rsid w:val="00F63DC4"/>
    <w:rsid w:val="00F63E12"/>
    <w:rsid w:val="00F64636"/>
    <w:rsid w:val="00F646C1"/>
    <w:rsid w:val="00F64EB8"/>
    <w:rsid w:val="00F6537B"/>
    <w:rsid w:val="00F6555C"/>
    <w:rsid w:val="00F66D2F"/>
    <w:rsid w:val="00F66F60"/>
    <w:rsid w:val="00F702F9"/>
    <w:rsid w:val="00F70310"/>
    <w:rsid w:val="00F71912"/>
    <w:rsid w:val="00F719DE"/>
    <w:rsid w:val="00F735BB"/>
    <w:rsid w:val="00F741AA"/>
    <w:rsid w:val="00F741FA"/>
    <w:rsid w:val="00F7435E"/>
    <w:rsid w:val="00F74937"/>
    <w:rsid w:val="00F7496A"/>
    <w:rsid w:val="00F760CD"/>
    <w:rsid w:val="00F774C1"/>
    <w:rsid w:val="00F77BF4"/>
    <w:rsid w:val="00F809BC"/>
    <w:rsid w:val="00F80C35"/>
    <w:rsid w:val="00F82263"/>
    <w:rsid w:val="00F82A79"/>
    <w:rsid w:val="00F82B68"/>
    <w:rsid w:val="00F8318B"/>
    <w:rsid w:val="00F831AF"/>
    <w:rsid w:val="00F83C00"/>
    <w:rsid w:val="00F84490"/>
    <w:rsid w:val="00F84A46"/>
    <w:rsid w:val="00F8521A"/>
    <w:rsid w:val="00F854C9"/>
    <w:rsid w:val="00F85DC0"/>
    <w:rsid w:val="00F86182"/>
    <w:rsid w:val="00F863A4"/>
    <w:rsid w:val="00F866FB"/>
    <w:rsid w:val="00F86AED"/>
    <w:rsid w:val="00F87B9A"/>
    <w:rsid w:val="00F901D6"/>
    <w:rsid w:val="00F902CB"/>
    <w:rsid w:val="00F90D2E"/>
    <w:rsid w:val="00F91D86"/>
    <w:rsid w:val="00F924A1"/>
    <w:rsid w:val="00F92923"/>
    <w:rsid w:val="00F92A7E"/>
    <w:rsid w:val="00F92B60"/>
    <w:rsid w:val="00F9306F"/>
    <w:rsid w:val="00F9397F"/>
    <w:rsid w:val="00F93DAF"/>
    <w:rsid w:val="00F94A4B"/>
    <w:rsid w:val="00F94C74"/>
    <w:rsid w:val="00F95ADC"/>
    <w:rsid w:val="00F96CB3"/>
    <w:rsid w:val="00F96E21"/>
    <w:rsid w:val="00F97955"/>
    <w:rsid w:val="00F979A4"/>
    <w:rsid w:val="00F97AB2"/>
    <w:rsid w:val="00F97BDD"/>
    <w:rsid w:val="00FA0767"/>
    <w:rsid w:val="00FA0896"/>
    <w:rsid w:val="00FA0C50"/>
    <w:rsid w:val="00FA143C"/>
    <w:rsid w:val="00FA1886"/>
    <w:rsid w:val="00FA1977"/>
    <w:rsid w:val="00FA275F"/>
    <w:rsid w:val="00FA2C8F"/>
    <w:rsid w:val="00FA37F1"/>
    <w:rsid w:val="00FA39D2"/>
    <w:rsid w:val="00FA3B92"/>
    <w:rsid w:val="00FA3CF8"/>
    <w:rsid w:val="00FA53AB"/>
    <w:rsid w:val="00FA64A6"/>
    <w:rsid w:val="00FA6856"/>
    <w:rsid w:val="00FA6CFE"/>
    <w:rsid w:val="00FA7328"/>
    <w:rsid w:val="00FA7C6D"/>
    <w:rsid w:val="00FB03EA"/>
    <w:rsid w:val="00FB1563"/>
    <w:rsid w:val="00FB1962"/>
    <w:rsid w:val="00FB3C31"/>
    <w:rsid w:val="00FB4141"/>
    <w:rsid w:val="00FB48FE"/>
    <w:rsid w:val="00FB4F84"/>
    <w:rsid w:val="00FB501C"/>
    <w:rsid w:val="00FB52F3"/>
    <w:rsid w:val="00FB6049"/>
    <w:rsid w:val="00FB6B74"/>
    <w:rsid w:val="00FB6CCD"/>
    <w:rsid w:val="00FB700B"/>
    <w:rsid w:val="00FB74C9"/>
    <w:rsid w:val="00FB7598"/>
    <w:rsid w:val="00FB7856"/>
    <w:rsid w:val="00FB7C17"/>
    <w:rsid w:val="00FC0781"/>
    <w:rsid w:val="00FC0D33"/>
    <w:rsid w:val="00FC0D7C"/>
    <w:rsid w:val="00FC1269"/>
    <w:rsid w:val="00FC1D4F"/>
    <w:rsid w:val="00FC2BA3"/>
    <w:rsid w:val="00FC44DC"/>
    <w:rsid w:val="00FC4653"/>
    <w:rsid w:val="00FC6C75"/>
    <w:rsid w:val="00FC71D7"/>
    <w:rsid w:val="00FC79E0"/>
    <w:rsid w:val="00FC7E1A"/>
    <w:rsid w:val="00FD0D5B"/>
    <w:rsid w:val="00FD1195"/>
    <w:rsid w:val="00FD185B"/>
    <w:rsid w:val="00FD194D"/>
    <w:rsid w:val="00FD1CC7"/>
    <w:rsid w:val="00FD2879"/>
    <w:rsid w:val="00FD3250"/>
    <w:rsid w:val="00FD3BD9"/>
    <w:rsid w:val="00FD4693"/>
    <w:rsid w:val="00FD4D48"/>
    <w:rsid w:val="00FD716D"/>
    <w:rsid w:val="00FD73B9"/>
    <w:rsid w:val="00FD73F6"/>
    <w:rsid w:val="00FD7DAF"/>
    <w:rsid w:val="00FE085B"/>
    <w:rsid w:val="00FE11A8"/>
    <w:rsid w:val="00FE1846"/>
    <w:rsid w:val="00FE1CED"/>
    <w:rsid w:val="00FE1F6A"/>
    <w:rsid w:val="00FE367A"/>
    <w:rsid w:val="00FE3733"/>
    <w:rsid w:val="00FE3DB3"/>
    <w:rsid w:val="00FE4116"/>
    <w:rsid w:val="00FE494B"/>
    <w:rsid w:val="00FE4985"/>
    <w:rsid w:val="00FE5C15"/>
    <w:rsid w:val="00FE78D3"/>
    <w:rsid w:val="00FF0C9D"/>
    <w:rsid w:val="00FF1299"/>
    <w:rsid w:val="00FF1A46"/>
    <w:rsid w:val="00FF1CDF"/>
    <w:rsid w:val="00FF1FA5"/>
    <w:rsid w:val="00FF2B38"/>
    <w:rsid w:val="00FF2D09"/>
    <w:rsid w:val="00FF3CFD"/>
    <w:rsid w:val="00FF4697"/>
    <w:rsid w:val="00FF4ADC"/>
    <w:rsid w:val="00FF4D8E"/>
    <w:rsid w:val="00FF54DA"/>
    <w:rsid w:val="00FF563D"/>
    <w:rsid w:val="00FF56D7"/>
    <w:rsid w:val="00FF578B"/>
    <w:rsid w:val="00FF5B4C"/>
    <w:rsid w:val="00FF5CD3"/>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73ECE"/>
  <w15:docId w15:val="{E7899CF4-1254-4968-9BD5-1E2CD4933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UNDERRUBRIK 1-2,DO NOT USE_h2,h2,h21,H2 Char,h2 Char"/>
    <w:basedOn w:val="Heading1"/>
    <w:next w:val="Normal"/>
    <w:link w:val="Heading2Char"/>
    <w:qFormat/>
    <w:rsid w:val="002958FD"/>
    <w:pPr>
      <w:numPr>
        <w:ilvl w:val="1"/>
        <w:numId w:val="1"/>
      </w:numPr>
      <w:tabs>
        <w:tab w:val="clear" w:pos="432"/>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1"/>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1,UNDERRUBRIK 1-2 Char,DO NOT USE_h2 Char,h2 Char1,h21 Char,H2 Char Char,h2 Char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Caption Char,Caption Char1 Char,cap Char Char1,Caption Char Char1 Char,cap Char2"/>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paragraph" w:customStyle="1" w:styleId="LGTdoc1">
    <w:name w:val="LGTdoc_제목1"/>
    <w:basedOn w:val="Normal"/>
    <w:rsid w:val="005837AB"/>
    <w:pPr>
      <w:adjustRightInd w:val="0"/>
      <w:snapToGrid w:val="0"/>
      <w:spacing w:beforeLines="50" w:after="100" w:afterAutospacing="1"/>
      <w:jc w:val="both"/>
    </w:pPr>
    <w:rPr>
      <w:rFonts w:eastAsia="Batang"/>
      <w:b/>
      <w:snapToGrid w:val="0"/>
      <w:sz w:val="28"/>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5837AB"/>
    <w:rPr>
      <w:rFonts w:eastAsia="Malgun Gothic"/>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Normal"/>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ListNumber4">
    <w:name w:val="List Number 4"/>
    <w:basedOn w:val="Normal"/>
    <w:rsid w:val="00F569B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Malgun Gothic"/>
      <w:noProof/>
      <w:lang w:val="en-GB" w:eastAsia="en-US"/>
    </w:rPr>
  </w:style>
  <w:style w:type="character" w:customStyle="1" w:styleId="Heading3Char">
    <w:name w:val="Heading 3 Char"/>
    <w:basedOn w:val="DefaultParagraphFont"/>
    <w:rsid w:val="00EB4862"/>
    <w:rPr>
      <w:rFonts w:ascii="Arial" w:hAnsi="Arial"/>
      <w:sz w:val="28"/>
      <w:lang w:val="en-GB" w:eastAsia="en-US" w:bidi="ar-SA"/>
    </w:rPr>
  </w:style>
  <w:style w:type="paragraph" w:customStyle="1" w:styleId="FL">
    <w:name w:val="FL"/>
    <w:basedOn w:val="Normal"/>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Malgun Gothic"/>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2A5CA4"/>
    <w:rPr>
      <w:b/>
      <w:sz w:val="24"/>
      <w:lang w:val="en-GB" w:eastAsia="en-US" w:bidi="ar-SA"/>
    </w:rPr>
  </w:style>
  <w:style w:type="character" w:customStyle="1" w:styleId="TALChar">
    <w:name w:val="TAL Char"/>
    <w:basedOn w:val="DefaultParagraphFont"/>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character" w:customStyle="1" w:styleId="ListParagraphChar">
    <w:name w:val="List Paragraph Char"/>
    <w:link w:val="ListParagraph"/>
    <w:uiPriority w:val="34"/>
    <w:rsid w:val="00705AD7"/>
    <w:rPr>
      <w:rFonts w:eastAsia="Malgun Gothic"/>
      <w:lang w:val="en-GB" w:eastAsia="en-US"/>
    </w:rPr>
  </w:style>
  <w:style w:type="character" w:styleId="PlaceholderText">
    <w:name w:val="Placeholder Text"/>
    <w:basedOn w:val="DefaultParagraphFont"/>
    <w:uiPriority w:val="99"/>
    <w:semiHidden/>
    <w:rsid w:val="004B2A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35">
      <w:bodyDiv w:val="1"/>
      <w:marLeft w:val="0"/>
      <w:marRight w:val="0"/>
      <w:marTop w:val="0"/>
      <w:marBottom w:val="0"/>
      <w:divBdr>
        <w:top w:val="none" w:sz="0" w:space="0" w:color="auto"/>
        <w:left w:val="none" w:sz="0" w:space="0" w:color="auto"/>
        <w:bottom w:val="none" w:sz="0" w:space="0" w:color="auto"/>
        <w:right w:val="none" w:sz="0" w:space="0" w:color="auto"/>
      </w:divBdr>
      <w:divsChild>
        <w:div w:id="643004047">
          <w:marLeft w:val="1166"/>
          <w:marRight w:val="0"/>
          <w:marTop w:val="62"/>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75079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19958834">
      <w:bodyDiv w:val="1"/>
      <w:marLeft w:val="0"/>
      <w:marRight w:val="0"/>
      <w:marTop w:val="0"/>
      <w:marBottom w:val="0"/>
      <w:divBdr>
        <w:top w:val="none" w:sz="0" w:space="0" w:color="auto"/>
        <w:left w:val="none" w:sz="0" w:space="0" w:color="auto"/>
        <w:bottom w:val="none" w:sz="0" w:space="0" w:color="auto"/>
        <w:right w:val="none" w:sz="0" w:space="0" w:color="auto"/>
      </w:divBdr>
      <w:divsChild>
        <w:div w:id="1491754461">
          <w:marLeft w:val="547"/>
          <w:marRight w:val="0"/>
          <w:marTop w:val="77"/>
          <w:marBottom w:val="0"/>
          <w:divBdr>
            <w:top w:val="none" w:sz="0" w:space="0" w:color="auto"/>
            <w:left w:val="none" w:sz="0" w:space="0" w:color="auto"/>
            <w:bottom w:val="none" w:sz="0" w:space="0" w:color="auto"/>
            <w:right w:val="none" w:sz="0" w:space="0" w:color="auto"/>
          </w:divBdr>
        </w:div>
        <w:div w:id="1597179222">
          <w:marLeft w:val="1166"/>
          <w:marRight w:val="0"/>
          <w:marTop w:val="67"/>
          <w:marBottom w:val="0"/>
          <w:divBdr>
            <w:top w:val="none" w:sz="0" w:space="0" w:color="auto"/>
            <w:left w:val="none" w:sz="0" w:space="0" w:color="auto"/>
            <w:bottom w:val="none" w:sz="0" w:space="0" w:color="auto"/>
            <w:right w:val="none" w:sz="0" w:space="0" w:color="auto"/>
          </w:divBdr>
        </w:div>
        <w:div w:id="855507390">
          <w:marLeft w:val="547"/>
          <w:marRight w:val="0"/>
          <w:marTop w:val="77"/>
          <w:marBottom w:val="0"/>
          <w:divBdr>
            <w:top w:val="none" w:sz="0" w:space="0" w:color="auto"/>
            <w:left w:val="none" w:sz="0" w:space="0" w:color="auto"/>
            <w:bottom w:val="none" w:sz="0" w:space="0" w:color="auto"/>
            <w:right w:val="none" w:sz="0" w:space="0" w:color="auto"/>
          </w:divBdr>
        </w:div>
        <w:div w:id="4287409">
          <w:marLeft w:val="1166"/>
          <w:marRight w:val="0"/>
          <w:marTop w:val="67"/>
          <w:marBottom w:val="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5340257">
      <w:bodyDiv w:val="1"/>
      <w:marLeft w:val="0"/>
      <w:marRight w:val="0"/>
      <w:marTop w:val="0"/>
      <w:marBottom w:val="0"/>
      <w:divBdr>
        <w:top w:val="none" w:sz="0" w:space="0" w:color="auto"/>
        <w:left w:val="none" w:sz="0" w:space="0" w:color="auto"/>
        <w:bottom w:val="none" w:sz="0" w:space="0" w:color="auto"/>
        <w:right w:val="none" w:sz="0" w:space="0" w:color="auto"/>
      </w:divBdr>
    </w:div>
    <w:div w:id="604384065">
      <w:bodyDiv w:val="1"/>
      <w:marLeft w:val="0"/>
      <w:marRight w:val="0"/>
      <w:marTop w:val="0"/>
      <w:marBottom w:val="0"/>
      <w:divBdr>
        <w:top w:val="none" w:sz="0" w:space="0" w:color="auto"/>
        <w:left w:val="none" w:sz="0" w:space="0" w:color="auto"/>
        <w:bottom w:val="none" w:sz="0" w:space="0" w:color="auto"/>
        <w:right w:val="none" w:sz="0" w:space="0" w:color="auto"/>
      </w:divBdr>
      <w:divsChild>
        <w:div w:id="1545479925">
          <w:marLeft w:val="547"/>
          <w:marRight w:val="0"/>
          <w:marTop w:val="72"/>
          <w:marBottom w:val="0"/>
          <w:divBdr>
            <w:top w:val="none" w:sz="0" w:space="0" w:color="auto"/>
            <w:left w:val="none" w:sz="0" w:space="0" w:color="auto"/>
            <w:bottom w:val="none" w:sz="0" w:space="0" w:color="auto"/>
            <w:right w:val="none" w:sz="0" w:space="0" w:color="auto"/>
          </w:divBdr>
        </w:div>
        <w:div w:id="274018001">
          <w:marLeft w:val="547"/>
          <w:marRight w:val="0"/>
          <w:marTop w:val="72"/>
          <w:marBottom w:val="0"/>
          <w:divBdr>
            <w:top w:val="none" w:sz="0" w:space="0" w:color="auto"/>
            <w:left w:val="none" w:sz="0" w:space="0" w:color="auto"/>
            <w:bottom w:val="none" w:sz="0" w:space="0" w:color="auto"/>
            <w:right w:val="none" w:sz="0" w:space="0" w:color="auto"/>
          </w:divBdr>
        </w:div>
        <w:div w:id="798494947">
          <w:marLeft w:val="1166"/>
          <w:marRight w:val="0"/>
          <w:marTop w:val="58"/>
          <w:marBottom w:val="0"/>
          <w:divBdr>
            <w:top w:val="none" w:sz="0" w:space="0" w:color="auto"/>
            <w:left w:val="none" w:sz="0" w:space="0" w:color="auto"/>
            <w:bottom w:val="none" w:sz="0" w:space="0" w:color="auto"/>
            <w:right w:val="none" w:sz="0" w:space="0" w:color="auto"/>
          </w:divBdr>
        </w:div>
        <w:div w:id="673842848">
          <w:marLeft w:val="1166"/>
          <w:marRight w:val="0"/>
          <w:marTop w:val="58"/>
          <w:marBottom w:val="0"/>
          <w:divBdr>
            <w:top w:val="none" w:sz="0" w:space="0" w:color="auto"/>
            <w:left w:val="none" w:sz="0" w:space="0" w:color="auto"/>
            <w:bottom w:val="none" w:sz="0" w:space="0" w:color="auto"/>
            <w:right w:val="none" w:sz="0" w:space="0" w:color="auto"/>
          </w:divBdr>
        </w:div>
        <w:div w:id="1580216587">
          <w:marLeft w:val="547"/>
          <w:marRight w:val="0"/>
          <w:marTop w:val="72"/>
          <w:marBottom w:val="0"/>
          <w:divBdr>
            <w:top w:val="none" w:sz="0" w:space="0" w:color="auto"/>
            <w:left w:val="none" w:sz="0" w:space="0" w:color="auto"/>
            <w:bottom w:val="none" w:sz="0" w:space="0" w:color="auto"/>
            <w:right w:val="none" w:sz="0" w:space="0" w:color="auto"/>
          </w:divBdr>
        </w:div>
        <w:div w:id="1527938387">
          <w:marLeft w:val="1166"/>
          <w:marRight w:val="0"/>
          <w:marTop w:val="58"/>
          <w:marBottom w:val="0"/>
          <w:divBdr>
            <w:top w:val="none" w:sz="0" w:space="0" w:color="auto"/>
            <w:left w:val="none" w:sz="0" w:space="0" w:color="auto"/>
            <w:bottom w:val="none" w:sz="0" w:space="0" w:color="auto"/>
            <w:right w:val="none" w:sz="0" w:space="0" w:color="auto"/>
          </w:divBdr>
        </w:div>
        <w:div w:id="2111000609">
          <w:marLeft w:val="1166"/>
          <w:marRight w:val="0"/>
          <w:marTop w:val="58"/>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3913845">
      <w:bodyDiv w:val="1"/>
      <w:marLeft w:val="0"/>
      <w:marRight w:val="0"/>
      <w:marTop w:val="0"/>
      <w:marBottom w:val="0"/>
      <w:divBdr>
        <w:top w:val="none" w:sz="0" w:space="0" w:color="auto"/>
        <w:left w:val="none" w:sz="0" w:space="0" w:color="auto"/>
        <w:bottom w:val="none" w:sz="0" w:space="0" w:color="auto"/>
        <w:right w:val="none" w:sz="0" w:space="0" w:color="auto"/>
      </w:divBdr>
      <w:divsChild>
        <w:div w:id="1498881321">
          <w:marLeft w:val="547"/>
          <w:marRight w:val="0"/>
          <w:marTop w:val="82"/>
          <w:marBottom w:val="0"/>
          <w:divBdr>
            <w:top w:val="none" w:sz="0" w:space="0" w:color="auto"/>
            <w:left w:val="none" w:sz="0" w:space="0" w:color="auto"/>
            <w:bottom w:val="none" w:sz="0" w:space="0" w:color="auto"/>
            <w:right w:val="none" w:sz="0" w:space="0" w:color="auto"/>
          </w:divBdr>
        </w:div>
        <w:div w:id="295646211">
          <w:marLeft w:val="1166"/>
          <w:marRight w:val="0"/>
          <w:marTop w:val="62"/>
          <w:marBottom w:val="0"/>
          <w:divBdr>
            <w:top w:val="none" w:sz="0" w:space="0" w:color="auto"/>
            <w:left w:val="none" w:sz="0" w:space="0" w:color="auto"/>
            <w:bottom w:val="none" w:sz="0" w:space="0" w:color="auto"/>
            <w:right w:val="none" w:sz="0" w:space="0" w:color="auto"/>
          </w:divBdr>
        </w:div>
        <w:div w:id="1818109087">
          <w:marLeft w:val="1166"/>
          <w:marRight w:val="0"/>
          <w:marTop w:val="62"/>
          <w:marBottom w:val="0"/>
          <w:divBdr>
            <w:top w:val="none" w:sz="0" w:space="0" w:color="auto"/>
            <w:left w:val="none" w:sz="0" w:space="0" w:color="auto"/>
            <w:bottom w:val="none" w:sz="0" w:space="0" w:color="auto"/>
            <w:right w:val="none" w:sz="0" w:space="0" w:color="auto"/>
          </w:divBdr>
        </w:div>
        <w:div w:id="531959205">
          <w:marLeft w:val="1166"/>
          <w:marRight w:val="0"/>
          <w:marTop w:val="62"/>
          <w:marBottom w:val="0"/>
          <w:divBdr>
            <w:top w:val="none" w:sz="0" w:space="0" w:color="auto"/>
            <w:left w:val="none" w:sz="0" w:space="0" w:color="auto"/>
            <w:bottom w:val="none" w:sz="0" w:space="0" w:color="auto"/>
            <w:right w:val="none" w:sz="0" w:space="0" w:color="auto"/>
          </w:divBdr>
        </w:div>
        <w:div w:id="1028989779">
          <w:marLeft w:val="1800"/>
          <w:marRight w:val="0"/>
          <w:marTop w:val="48"/>
          <w:marBottom w:val="0"/>
          <w:divBdr>
            <w:top w:val="none" w:sz="0" w:space="0" w:color="auto"/>
            <w:left w:val="none" w:sz="0" w:space="0" w:color="auto"/>
            <w:bottom w:val="none" w:sz="0" w:space="0" w:color="auto"/>
            <w:right w:val="none" w:sz="0" w:space="0" w:color="auto"/>
          </w:divBdr>
        </w:div>
        <w:div w:id="1352342369">
          <w:marLeft w:val="547"/>
          <w:marRight w:val="0"/>
          <w:marTop w:val="82"/>
          <w:marBottom w:val="0"/>
          <w:divBdr>
            <w:top w:val="none" w:sz="0" w:space="0" w:color="auto"/>
            <w:left w:val="none" w:sz="0" w:space="0" w:color="auto"/>
            <w:bottom w:val="none" w:sz="0" w:space="0" w:color="auto"/>
            <w:right w:val="none" w:sz="0" w:space="0" w:color="auto"/>
          </w:divBdr>
        </w:div>
        <w:div w:id="1050767397">
          <w:marLeft w:val="1166"/>
          <w:marRight w:val="0"/>
          <w:marTop w:val="62"/>
          <w:marBottom w:val="0"/>
          <w:divBdr>
            <w:top w:val="none" w:sz="0" w:space="0" w:color="auto"/>
            <w:left w:val="none" w:sz="0" w:space="0" w:color="auto"/>
            <w:bottom w:val="none" w:sz="0" w:space="0" w:color="auto"/>
            <w:right w:val="none" w:sz="0" w:space="0" w:color="auto"/>
          </w:divBdr>
        </w:div>
        <w:div w:id="663168130">
          <w:marLeft w:val="1166"/>
          <w:marRight w:val="0"/>
          <w:marTop w:val="62"/>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562401">
      <w:bodyDiv w:val="1"/>
      <w:marLeft w:val="0"/>
      <w:marRight w:val="0"/>
      <w:marTop w:val="0"/>
      <w:marBottom w:val="0"/>
      <w:divBdr>
        <w:top w:val="none" w:sz="0" w:space="0" w:color="auto"/>
        <w:left w:val="none" w:sz="0" w:space="0" w:color="auto"/>
        <w:bottom w:val="none" w:sz="0" w:space="0" w:color="auto"/>
        <w:right w:val="none" w:sz="0" w:space="0" w:color="auto"/>
      </w:divBdr>
      <w:divsChild>
        <w:div w:id="412550802">
          <w:marLeft w:val="547"/>
          <w:marRight w:val="0"/>
          <w:marTop w:val="154"/>
          <w:marBottom w:val="0"/>
          <w:divBdr>
            <w:top w:val="none" w:sz="0" w:space="0" w:color="auto"/>
            <w:left w:val="none" w:sz="0" w:space="0" w:color="auto"/>
            <w:bottom w:val="none" w:sz="0" w:space="0" w:color="auto"/>
            <w:right w:val="none" w:sz="0" w:space="0" w:color="auto"/>
          </w:divBdr>
        </w:div>
        <w:div w:id="1765033899">
          <w:marLeft w:val="547"/>
          <w:marRight w:val="0"/>
          <w:marTop w:val="154"/>
          <w:marBottom w:val="0"/>
          <w:divBdr>
            <w:top w:val="none" w:sz="0" w:space="0" w:color="auto"/>
            <w:left w:val="none" w:sz="0" w:space="0" w:color="auto"/>
            <w:bottom w:val="none" w:sz="0" w:space="0" w:color="auto"/>
            <w:right w:val="none" w:sz="0" w:space="0" w:color="auto"/>
          </w:divBdr>
        </w:div>
        <w:div w:id="3362083">
          <w:marLeft w:val="1166"/>
          <w:marRight w:val="0"/>
          <w:marTop w:val="134"/>
          <w:marBottom w:val="0"/>
          <w:divBdr>
            <w:top w:val="none" w:sz="0" w:space="0" w:color="auto"/>
            <w:left w:val="none" w:sz="0" w:space="0" w:color="auto"/>
            <w:bottom w:val="none" w:sz="0" w:space="0" w:color="auto"/>
            <w:right w:val="none" w:sz="0" w:space="0" w:color="auto"/>
          </w:divBdr>
        </w:div>
        <w:div w:id="1132820164">
          <w:marLeft w:val="1166"/>
          <w:marRight w:val="0"/>
          <w:marTop w:val="134"/>
          <w:marBottom w:val="0"/>
          <w:divBdr>
            <w:top w:val="none" w:sz="0" w:space="0" w:color="auto"/>
            <w:left w:val="none" w:sz="0" w:space="0" w:color="auto"/>
            <w:bottom w:val="none" w:sz="0" w:space="0" w:color="auto"/>
            <w:right w:val="none" w:sz="0" w:space="0" w:color="auto"/>
          </w:divBdr>
        </w:div>
        <w:div w:id="266350724">
          <w:marLeft w:val="547"/>
          <w:marRight w:val="0"/>
          <w:marTop w:val="154"/>
          <w:marBottom w:val="0"/>
          <w:divBdr>
            <w:top w:val="none" w:sz="0" w:space="0" w:color="auto"/>
            <w:left w:val="none" w:sz="0" w:space="0" w:color="auto"/>
            <w:bottom w:val="none" w:sz="0" w:space="0" w:color="auto"/>
            <w:right w:val="none" w:sz="0" w:space="0" w:color="auto"/>
          </w:divBdr>
        </w:div>
        <w:div w:id="1174300754">
          <w:marLeft w:val="1166"/>
          <w:marRight w:val="0"/>
          <w:marTop w:val="134"/>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774943">
      <w:bodyDiv w:val="1"/>
      <w:marLeft w:val="0"/>
      <w:marRight w:val="0"/>
      <w:marTop w:val="0"/>
      <w:marBottom w:val="0"/>
      <w:divBdr>
        <w:top w:val="none" w:sz="0" w:space="0" w:color="auto"/>
        <w:left w:val="none" w:sz="0" w:space="0" w:color="auto"/>
        <w:bottom w:val="none" w:sz="0" w:space="0" w:color="auto"/>
        <w:right w:val="none" w:sz="0" w:space="0" w:color="auto"/>
      </w:divBdr>
      <w:divsChild>
        <w:div w:id="1440445868">
          <w:marLeft w:val="547"/>
          <w:marRight w:val="0"/>
          <w:marTop w:val="106"/>
          <w:marBottom w:val="0"/>
          <w:divBdr>
            <w:top w:val="none" w:sz="0" w:space="0" w:color="auto"/>
            <w:left w:val="none" w:sz="0" w:space="0" w:color="auto"/>
            <w:bottom w:val="none" w:sz="0" w:space="0" w:color="auto"/>
            <w:right w:val="none" w:sz="0" w:space="0" w:color="auto"/>
          </w:divBdr>
        </w:div>
        <w:div w:id="281612327">
          <w:marLeft w:val="1166"/>
          <w:marRight w:val="0"/>
          <w:marTop w:val="96"/>
          <w:marBottom w:val="0"/>
          <w:divBdr>
            <w:top w:val="none" w:sz="0" w:space="0" w:color="auto"/>
            <w:left w:val="none" w:sz="0" w:space="0" w:color="auto"/>
            <w:bottom w:val="none" w:sz="0" w:space="0" w:color="auto"/>
            <w:right w:val="none" w:sz="0" w:space="0" w:color="auto"/>
          </w:divBdr>
        </w:div>
        <w:div w:id="430509455">
          <w:marLeft w:val="1800"/>
          <w:marRight w:val="0"/>
          <w:marTop w:val="82"/>
          <w:marBottom w:val="0"/>
          <w:divBdr>
            <w:top w:val="none" w:sz="0" w:space="0" w:color="auto"/>
            <w:left w:val="none" w:sz="0" w:space="0" w:color="auto"/>
            <w:bottom w:val="none" w:sz="0" w:space="0" w:color="auto"/>
            <w:right w:val="none" w:sz="0" w:space="0" w:color="auto"/>
          </w:divBdr>
        </w:div>
        <w:div w:id="186916434">
          <w:marLeft w:val="1800"/>
          <w:marRight w:val="0"/>
          <w:marTop w:val="82"/>
          <w:marBottom w:val="0"/>
          <w:divBdr>
            <w:top w:val="none" w:sz="0" w:space="0" w:color="auto"/>
            <w:left w:val="none" w:sz="0" w:space="0" w:color="auto"/>
            <w:bottom w:val="none" w:sz="0" w:space="0" w:color="auto"/>
            <w:right w:val="none" w:sz="0" w:space="0" w:color="auto"/>
          </w:divBdr>
        </w:div>
        <w:div w:id="1404911966">
          <w:marLeft w:val="1166"/>
          <w:marRight w:val="0"/>
          <w:marTop w:val="96"/>
          <w:marBottom w:val="0"/>
          <w:divBdr>
            <w:top w:val="none" w:sz="0" w:space="0" w:color="auto"/>
            <w:left w:val="none" w:sz="0" w:space="0" w:color="auto"/>
            <w:bottom w:val="none" w:sz="0" w:space="0" w:color="auto"/>
            <w:right w:val="none" w:sz="0" w:space="0" w:color="auto"/>
          </w:divBdr>
        </w:div>
        <w:div w:id="1791700115">
          <w:marLeft w:val="1800"/>
          <w:marRight w:val="0"/>
          <w:marTop w:val="82"/>
          <w:marBottom w:val="0"/>
          <w:divBdr>
            <w:top w:val="none" w:sz="0" w:space="0" w:color="auto"/>
            <w:left w:val="none" w:sz="0" w:space="0" w:color="auto"/>
            <w:bottom w:val="none" w:sz="0" w:space="0" w:color="auto"/>
            <w:right w:val="none" w:sz="0" w:space="0" w:color="auto"/>
          </w:divBdr>
        </w:div>
        <w:div w:id="84881815">
          <w:marLeft w:val="1800"/>
          <w:marRight w:val="0"/>
          <w:marTop w:val="82"/>
          <w:marBottom w:val="0"/>
          <w:divBdr>
            <w:top w:val="none" w:sz="0" w:space="0" w:color="auto"/>
            <w:left w:val="none" w:sz="0" w:space="0" w:color="auto"/>
            <w:bottom w:val="none" w:sz="0" w:space="0" w:color="auto"/>
            <w:right w:val="none" w:sz="0" w:space="0" w:color="auto"/>
          </w:divBdr>
        </w:div>
        <w:div w:id="1885099559">
          <w:marLeft w:val="1800"/>
          <w:marRight w:val="0"/>
          <w:marTop w:val="82"/>
          <w:marBottom w:val="0"/>
          <w:divBdr>
            <w:top w:val="none" w:sz="0" w:space="0" w:color="auto"/>
            <w:left w:val="none" w:sz="0" w:space="0" w:color="auto"/>
            <w:bottom w:val="none" w:sz="0" w:space="0" w:color="auto"/>
            <w:right w:val="none" w:sz="0" w:space="0" w:color="auto"/>
          </w:divBdr>
        </w:div>
        <w:div w:id="176582292">
          <w:marLeft w:val="1166"/>
          <w:marRight w:val="0"/>
          <w:marTop w:val="96"/>
          <w:marBottom w:val="0"/>
          <w:divBdr>
            <w:top w:val="none" w:sz="0" w:space="0" w:color="auto"/>
            <w:left w:val="none" w:sz="0" w:space="0" w:color="auto"/>
            <w:bottom w:val="none" w:sz="0" w:space="0" w:color="auto"/>
            <w:right w:val="none" w:sz="0" w:space="0" w:color="auto"/>
          </w:divBdr>
        </w:div>
        <w:div w:id="1046181464">
          <w:marLeft w:val="1800"/>
          <w:marRight w:val="0"/>
          <w:marTop w:val="82"/>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130438">
      <w:bodyDiv w:val="1"/>
      <w:marLeft w:val="0"/>
      <w:marRight w:val="0"/>
      <w:marTop w:val="0"/>
      <w:marBottom w:val="0"/>
      <w:divBdr>
        <w:top w:val="none" w:sz="0" w:space="0" w:color="auto"/>
        <w:left w:val="none" w:sz="0" w:space="0" w:color="auto"/>
        <w:bottom w:val="none" w:sz="0" w:space="0" w:color="auto"/>
        <w:right w:val="none" w:sz="0" w:space="0" w:color="auto"/>
      </w:divBdr>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02617911">
      <w:bodyDiv w:val="1"/>
      <w:marLeft w:val="0"/>
      <w:marRight w:val="0"/>
      <w:marTop w:val="0"/>
      <w:marBottom w:val="0"/>
      <w:divBdr>
        <w:top w:val="none" w:sz="0" w:space="0" w:color="auto"/>
        <w:left w:val="none" w:sz="0" w:space="0" w:color="auto"/>
        <w:bottom w:val="none" w:sz="0" w:space="0" w:color="auto"/>
        <w:right w:val="none" w:sz="0" w:space="0" w:color="auto"/>
      </w:divBdr>
      <w:divsChild>
        <w:div w:id="371657294">
          <w:marLeft w:val="1800"/>
          <w:marRight w:val="0"/>
          <w:marTop w:val="53"/>
          <w:marBottom w:val="0"/>
          <w:divBdr>
            <w:top w:val="none" w:sz="0" w:space="0" w:color="auto"/>
            <w:left w:val="none" w:sz="0" w:space="0" w:color="auto"/>
            <w:bottom w:val="none" w:sz="0" w:space="0" w:color="auto"/>
            <w:right w:val="none" w:sz="0" w:space="0" w:color="auto"/>
          </w:divBdr>
        </w:div>
      </w:divsChild>
    </w:div>
    <w:div w:id="1323972250">
      <w:bodyDiv w:val="1"/>
      <w:marLeft w:val="0"/>
      <w:marRight w:val="0"/>
      <w:marTop w:val="0"/>
      <w:marBottom w:val="0"/>
      <w:divBdr>
        <w:top w:val="none" w:sz="0" w:space="0" w:color="auto"/>
        <w:left w:val="none" w:sz="0" w:space="0" w:color="auto"/>
        <w:bottom w:val="none" w:sz="0" w:space="0" w:color="auto"/>
        <w:right w:val="none" w:sz="0" w:space="0" w:color="auto"/>
      </w:divBdr>
      <w:divsChild>
        <w:div w:id="18626690">
          <w:marLeft w:val="547"/>
          <w:marRight w:val="0"/>
          <w:marTop w:val="96"/>
          <w:marBottom w:val="0"/>
          <w:divBdr>
            <w:top w:val="none" w:sz="0" w:space="0" w:color="auto"/>
            <w:left w:val="none" w:sz="0" w:space="0" w:color="auto"/>
            <w:bottom w:val="none" w:sz="0" w:space="0" w:color="auto"/>
            <w:right w:val="none" w:sz="0" w:space="0" w:color="auto"/>
          </w:divBdr>
        </w:div>
        <w:div w:id="1421172818">
          <w:marLeft w:val="547"/>
          <w:marRight w:val="0"/>
          <w:marTop w:val="96"/>
          <w:marBottom w:val="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5491740">
      <w:bodyDiv w:val="1"/>
      <w:marLeft w:val="0"/>
      <w:marRight w:val="0"/>
      <w:marTop w:val="0"/>
      <w:marBottom w:val="0"/>
      <w:divBdr>
        <w:top w:val="none" w:sz="0" w:space="0" w:color="auto"/>
        <w:left w:val="none" w:sz="0" w:space="0" w:color="auto"/>
        <w:bottom w:val="none" w:sz="0" w:space="0" w:color="auto"/>
        <w:right w:val="none" w:sz="0" w:space="0" w:color="auto"/>
      </w:divBdr>
      <w:divsChild>
        <w:div w:id="623509744">
          <w:marLeft w:val="1166"/>
          <w:marRight w:val="0"/>
          <w:marTop w:val="96"/>
          <w:marBottom w:val="0"/>
          <w:divBdr>
            <w:top w:val="none" w:sz="0" w:space="0" w:color="auto"/>
            <w:left w:val="none" w:sz="0" w:space="0" w:color="auto"/>
            <w:bottom w:val="none" w:sz="0" w:space="0" w:color="auto"/>
            <w:right w:val="none" w:sz="0" w:space="0" w:color="auto"/>
          </w:divBdr>
        </w:div>
        <w:div w:id="1155996159">
          <w:marLeft w:val="1166"/>
          <w:marRight w:val="0"/>
          <w:marTop w:val="96"/>
          <w:marBottom w:val="0"/>
          <w:divBdr>
            <w:top w:val="none" w:sz="0" w:space="0" w:color="auto"/>
            <w:left w:val="none" w:sz="0" w:space="0" w:color="auto"/>
            <w:bottom w:val="none" w:sz="0" w:space="0" w:color="auto"/>
            <w:right w:val="none" w:sz="0" w:space="0" w:color="auto"/>
          </w:divBdr>
        </w:div>
        <w:div w:id="232202768">
          <w:marLeft w:val="1800"/>
          <w:marRight w:val="0"/>
          <w:marTop w:val="86"/>
          <w:marBottom w:val="0"/>
          <w:divBdr>
            <w:top w:val="none" w:sz="0" w:space="0" w:color="auto"/>
            <w:left w:val="none" w:sz="0" w:space="0" w:color="auto"/>
            <w:bottom w:val="none" w:sz="0" w:space="0" w:color="auto"/>
            <w:right w:val="none" w:sz="0" w:space="0" w:color="auto"/>
          </w:divBdr>
        </w:div>
        <w:div w:id="396366958">
          <w:marLeft w:val="1800"/>
          <w:marRight w:val="0"/>
          <w:marTop w:val="86"/>
          <w:marBottom w:val="0"/>
          <w:divBdr>
            <w:top w:val="none" w:sz="0" w:space="0" w:color="auto"/>
            <w:left w:val="none" w:sz="0" w:space="0" w:color="auto"/>
            <w:bottom w:val="none" w:sz="0" w:space="0" w:color="auto"/>
            <w:right w:val="none" w:sz="0" w:space="0" w:color="auto"/>
          </w:divBdr>
        </w:div>
      </w:divsChild>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48184778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0842739">
      <w:bodyDiv w:val="1"/>
      <w:marLeft w:val="0"/>
      <w:marRight w:val="0"/>
      <w:marTop w:val="0"/>
      <w:marBottom w:val="0"/>
      <w:divBdr>
        <w:top w:val="none" w:sz="0" w:space="0" w:color="auto"/>
        <w:left w:val="none" w:sz="0" w:space="0" w:color="auto"/>
        <w:bottom w:val="none" w:sz="0" w:space="0" w:color="auto"/>
        <w:right w:val="none" w:sz="0" w:space="0" w:color="auto"/>
      </w:divBdr>
    </w:div>
    <w:div w:id="1645038696">
      <w:bodyDiv w:val="1"/>
      <w:marLeft w:val="0"/>
      <w:marRight w:val="0"/>
      <w:marTop w:val="0"/>
      <w:marBottom w:val="0"/>
      <w:divBdr>
        <w:top w:val="none" w:sz="0" w:space="0" w:color="auto"/>
        <w:left w:val="none" w:sz="0" w:space="0" w:color="auto"/>
        <w:bottom w:val="none" w:sz="0" w:space="0" w:color="auto"/>
        <w:right w:val="none" w:sz="0" w:space="0" w:color="auto"/>
      </w:divBdr>
      <w:divsChild>
        <w:div w:id="195049659">
          <w:marLeft w:val="547"/>
          <w:marRight w:val="0"/>
          <w:marTop w:val="67"/>
          <w:marBottom w:val="0"/>
          <w:divBdr>
            <w:top w:val="none" w:sz="0" w:space="0" w:color="auto"/>
            <w:left w:val="none" w:sz="0" w:space="0" w:color="auto"/>
            <w:bottom w:val="none" w:sz="0" w:space="0" w:color="auto"/>
            <w:right w:val="none" w:sz="0" w:space="0" w:color="auto"/>
          </w:divBdr>
        </w:div>
        <w:div w:id="1282154844">
          <w:marLeft w:val="547"/>
          <w:marRight w:val="0"/>
          <w:marTop w:val="67"/>
          <w:marBottom w:val="0"/>
          <w:divBdr>
            <w:top w:val="none" w:sz="0" w:space="0" w:color="auto"/>
            <w:left w:val="none" w:sz="0" w:space="0" w:color="auto"/>
            <w:bottom w:val="none" w:sz="0" w:space="0" w:color="auto"/>
            <w:right w:val="none" w:sz="0" w:space="0" w:color="auto"/>
          </w:divBdr>
        </w:div>
        <w:div w:id="1191335965">
          <w:marLeft w:val="547"/>
          <w:marRight w:val="0"/>
          <w:marTop w:val="67"/>
          <w:marBottom w:val="0"/>
          <w:divBdr>
            <w:top w:val="none" w:sz="0" w:space="0" w:color="auto"/>
            <w:left w:val="none" w:sz="0" w:space="0" w:color="auto"/>
            <w:bottom w:val="none" w:sz="0" w:space="0" w:color="auto"/>
            <w:right w:val="none" w:sz="0" w:space="0" w:color="auto"/>
          </w:divBdr>
        </w:div>
        <w:div w:id="681663144">
          <w:marLeft w:val="1166"/>
          <w:marRight w:val="0"/>
          <w:marTop w:val="58"/>
          <w:marBottom w:val="0"/>
          <w:divBdr>
            <w:top w:val="none" w:sz="0" w:space="0" w:color="auto"/>
            <w:left w:val="none" w:sz="0" w:space="0" w:color="auto"/>
            <w:bottom w:val="none" w:sz="0" w:space="0" w:color="auto"/>
            <w:right w:val="none" w:sz="0" w:space="0" w:color="auto"/>
          </w:divBdr>
        </w:div>
        <w:div w:id="1851286109">
          <w:marLeft w:val="1166"/>
          <w:marRight w:val="0"/>
          <w:marTop w:val="58"/>
          <w:marBottom w:val="0"/>
          <w:divBdr>
            <w:top w:val="none" w:sz="0" w:space="0" w:color="auto"/>
            <w:left w:val="none" w:sz="0" w:space="0" w:color="auto"/>
            <w:bottom w:val="none" w:sz="0" w:space="0" w:color="auto"/>
            <w:right w:val="none" w:sz="0" w:space="0" w:color="auto"/>
          </w:divBdr>
        </w:div>
        <w:div w:id="956369656">
          <w:marLeft w:val="1800"/>
          <w:marRight w:val="0"/>
          <w:marTop w:val="53"/>
          <w:marBottom w:val="0"/>
          <w:divBdr>
            <w:top w:val="none" w:sz="0" w:space="0" w:color="auto"/>
            <w:left w:val="none" w:sz="0" w:space="0" w:color="auto"/>
            <w:bottom w:val="none" w:sz="0" w:space="0" w:color="auto"/>
            <w:right w:val="none" w:sz="0" w:space="0" w:color="auto"/>
          </w:divBdr>
        </w:div>
        <w:div w:id="2065833307">
          <w:marLeft w:val="2520"/>
          <w:marRight w:val="0"/>
          <w:marTop w:val="50"/>
          <w:marBottom w:val="0"/>
          <w:divBdr>
            <w:top w:val="none" w:sz="0" w:space="0" w:color="auto"/>
            <w:left w:val="none" w:sz="0" w:space="0" w:color="auto"/>
            <w:bottom w:val="none" w:sz="0" w:space="0" w:color="auto"/>
            <w:right w:val="none" w:sz="0" w:space="0" w:color="auto"/>
          </w:divBdr>
        </w:div>
        <w:div w:id="1670256230">
          <w:marLeft w:val="2520"/>
          <w:marRight w:val="0"/>
          <w:marTop w:val="50"/>
          <w:marBottom w:val="0"/>
          <w:divBdr>
            <w:top w:val="none" w:sz="0" w:space="0" w:color="auto"/>
            <w:left w:val="none" w:sz="0" w:space="0" w:color="auto"/>
            <w:bottom w:val="none" w:sz="0" w:space="0" w:color="auto"/>
            <w:right w:val="none" w:sz="0" w:space="0" w:color="auto"/>
          </w:divBdr>
        </w:div>
        <w:div w:id="897978579">
          <w:marLeft w:val="1800"/>
          <w:marRight w:val="0"/>
          <w:marTop w:val="53"/>
          <w:marBottom w:val="0"/>
          <w:divBdr>
            <w:top w:val="none" w:sz="0" w:space="0" w:color="auto"/>
            <w:left w:val="none" w:sz="0" w:space="0" w:color="auto"/>
            <w:bottom w:val="none" w:sz="0" w:space="0" w:color="auto"/>
            <w:right w:val="none" w:sz="0" w:space="0" w:color="auto"/>
          </w:divBdr>
        </w:div>
        <w:div w:id="252588584">
          <w:marLeft w:val="2520"/>
          <w:marRight w:val="0"/>
          <w:marTop w:val="50"/>
          <w:marBottom w:val="0"/>
          <w:divBdr>
            <w:top w:val="none" w:sz="0" w:space="0" w:color="auto"/>
            <w:left w:val="none" w:sz="0" w:space="0" w:color="auto"/>
            <w:bottom w:val="none" w:sz="0" w:space="0" w:color="auto"/>
            <w:right w:val="none" w:sz="0" w:space="0" w:color="auto"/>
          </w:divBdr>
        </w:div>
        <w:div w:id="216748467">
          <w:marLeft w:val="2520"/>
          <w:marRight w:val="0"/>
          <w:marTop w:val="50"/>
          <w:marBottom w:val="0"/>
          <w:divBdr>
            <w:top w:val="none" w:sz="0" w:space="0" w:color="auto"/>
            <w:left w:val="none" w:sz="0" w:space="0" w:color="auto"/>
            <w:bottom w:val="none" w:sz="0" w:space="0" w:color="auto"/>
            <w:right w:val="none" w:sz="0" w:space="0" w:color="auto"/>
          </w:divBdr>
        </w:div>
        <w:div w:id="468791037">
          <w:marLeft w:val="2520"/>
          <w:marRight w:val="0"/>
          <w:marTop w:val="50"/>
          <w:marBottom w:val="0"/>
          <w:divBdr>
            <w:top w:val="none" w:sz="0" w:space="0" w:color="auto"/>
            <w:left w:val="none" w:sz="0" w:space="0" w:color="auto"/>
            <w:bottom w:val="none" w:sz="0" w:space="0" w:color="auto"/>
            <w:right w:val="none" w:sz="0" w:space="0" w:color="auto"/>
          </w:divBdr>
        </w:div>
        <w:div w:id="1808207382">
          <w:marLeft w:val="1800"/>
          <w:marRight w:val="0"/>
          <w:marTop w:val="53"/>
          <w:marBottom w:val="0"/>
          <w:divBdr>
            <w:top w:val="none" w:sz="0" w:space="0" w:color="auto"/>
            <w:left w:val="none" w:sz="0" w:space="0" w:color="auto"/>
            <w:bottom w:val="none" w:sz="0" w:space="0" w:color="auto"/>
            <w:right w:val="none" w:sz="0" w:space="0" w:color="auto"/>
          </w:divBdr>
        </w:div>
        <w:div w:id="1324089867">
          <w:marLeft w:val="2520"/>
          <w:marRight w:val="0"/>
          <w:marTop w:val="50"/>
          <w:marBottom w:val="0"/>
          <w:divBdr>
            <w:top w:val="none" w:sz="0" w:space="0" w:color="auto"/>
            <w:left w:val="none" w:sz="0" w:space="0" w:color="auto"/>
            <w:bottom w:val="none" w:sz="0" w:space="0" w:color="auto"/>
            <w:right w:val="none" w:sz="0" w:space="0" w:color="auto"/>
          </w:divBdr>
        </w:div>
        <w:div w:id="409274080">
          <w:marLeft w:val="2520"/>
          <w:marRight w:val="0"/>
          <w:marTop w:val="50"/>
          <w:marBottom w:val="0"/>
          <w:divBdr>
            <w:top w:val="none" w:sz="0" w:space="0" w:color="auto"/>
            <w:left w:val="none" w:sz="0" w:space="0" w:color="auto"/>
            <w:bottom w:val="none" w:sz="0" w:space="0" w:color="auto"/>
            <w:right w:val="none" w:sz="0" w:space="0" w:color="auto"/>
          </w:divBdr>
        </w:div>
        <w:div w:id="470244913">
          <w:marLeft w:val="2520"/>
          <w:marRight w:val="0"/>
          <w:marTop w:val="50"/>
          <w:marBottom w:val="0"/>
          <w:divBdr>
            <w:top w:val="none" w:sz="0" w:space="0" w:color="auto"/>
            <w:left w:val="none" w:sz="0" w:space="0" w:color="auto"/>
            <w:bottom w:val="none" w:sz="0" w:space="0" w:color="auto"/>
            <w:right w:val="none" w:sz="0" w:space="0" w:color="auto"/>
          </w:divBdr>
        </w:div>
        <w:div w:id="1656764008">
          <w:marLeft w:val="1800"/>
          <w:marRight w:val="0"/>
          <w:marTop w:val="53"/>
          <w:marBottom w:val="0"/>
          <w:divBdr>
            <w:top w:val="none" w:sz="0" w:space="0" w:color="auto"/>
            <w:left w:val="none" w:sz="0" w:space="0" w:color="auto"/>
            <w:bottom w:val="none" w:sz="0" w:space="0" w:color="auto"/>
            <w:right w:val="none" w:sz="0" w:space="0" w:color="auto"/>
          </w:divBdr>
        </w:div>
        <w:div w:id="838467675">
          <w:marLeft w:val="2520"/>
          <w:marRight w:val="0"/>
          <w:marTop w:val="50"/>
          <w:marBottom w:val="0"/>
          <w:divBdr>
            <w:top w:val="none" w:sz="0" w:space="0" w:color="auto"/>
            <w:left w:val="none" w:sz="0" w:space="0" w:color="auto"/>
            <w:bottom w:val="none" w:sz="0" w:space="0" w:color="auto"/>
            <w:right w:val="none" w:sz="0" w:space="0" w:color="auto"/>
          </w:divBdr>
        </w:div>
        <w:div w:id="1922332256">
          <w:marLeft w:val="2520"/>
          <w:marRight w:val="0"/>
          <w:marTop w:val="50"/>
          <w:marBottom w:val="0"/>
          <w:divBdr>
            <w:top w:val="none" w:sz="0" w:space="0" w:color="auto"/>
            <w:left w:val="none" w:sz="0" w:space="0" w:color="auto"/>
            <w:bottom w:val="none" w:sz="0" w:space="0" w:color="auto"/>
            <w:right w:val="none" w:sz="0" w:space="0" w:color="auto"/>
          </w:divBdr>
        </w:div>
        <w:div w:id="200288648">
          <w:marLeft w:val="547"/>
          <w:marRight w:val="0"/>
          <w:marTop w:val="67"/>
          <w:marBottom w:val="0"/>
          <w:divBdr>
            <w:top w:val="none" w:sz="0" w:space="0" w:color="auto"/>
            <w:left w:val="none" w:sz="0" w:space="0" w:color="auto"/>
            <w:bottom w:val="none" w:sz="0" w:space="0" w:color="auto"/>
            <w:right w:val="none" w:sz="0" w:space="0" w:color="auto"/>
          </w:divBdr>
        </w:div>
        <w:div w:id="1748259693">
          <w:marLeft w:val="1166"/>
          <w:marRight w:val="0"/>
          <w:marTop w:val="58"/>
          <w:marBottom w:val="0"/>
          <w:divBdr>
            <w:top w:val="none" w:sz="0" w:space="0" w:color="auto"/>
            <w:left w:val="none" w:sz="0" w:space="0" w:color="auto"/>
            <w:bottom w:val="none" w:sz="0" w:space="0" w:color="auto"/>
            <w:right w:val="none" w:sz="0" w:space="0" w:color="auto"/>
          </w:divBdr>
        </w:div>
        <w:div w:id="64911611">
          <w:marLeft w:val="1166"/>
          <w:marRight w:val="0"/>
          <w:marTop w:val="58"/>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864509">
      <w:bodyDiv w:val="1"/>
      <w:marLeft w:val="0"/>
      <w:marRight w:val="0"/>
      <w:marTop w:val="0"/>
      <w:marBottom w:val="0"/>
      <w:divBdr>
        <w:top w:val="none" w:sz="0" w:space="0" w:color="auto"/>
        <w:left w:val="none" w:sz="0" w:space="0" w:color="auto"/>
        <w:bottom w:val="none" w:sz="0" w:space="0" w:color="auto"/>
        <w:right w:val="none" w:sz="0" w:space="0" w:color="auto"/>
      </w:divBdr>
      <w:divsChild>
        <w:div w:id="177427393">
          <w:marLeft w:val="547"/>
          <w:marRight w:val="0"/>
          <w:marTop w:val="144"/>
          <w:marBottom w:val="0"/>
          <w:divBdr>
            <w:top w:val="none" w:sz="0" w:space="0" w:color="auto"/>
            <w:left w:val="none" w:sz="0" w:space="0" w:color="auto"/>
            <w:bottom w:val="none" w:sz="0" w:space="0" w:color="auto"/>
            <w:right w:val="none" w:sz="0" w:space="0" w:color="auto"/>
          </w:divBdr>
        </w:div>
        <w:div w:id="374934346">
          <w:marLeft w:val="1166"/>
          <w:marRight w:val="0"/>
          <w:marTop w:val="125"/>
          <w:marBottom w:val="0"/>
          <w:divBdr>
            <w:top w:val="none" w:sz="0" w:space="0" w:color="auto"/>
            <w:left w:val="none" w:sz="0" w:space="0" w:color="auto"/>
            <w:bottom w:val="none" w:sz="0" w:space="0" w:color="auto"/>
            <w:right w:val="none" w:sz="0" w:space="0" w:color="auto"/>
          </w:divBdr>
        </w:div>
        <w:div w:id="1118526064">
          <w:marLeft w:val="1166"/>
          <w:marRight w:val="0"/>
          <w:marTop w:val="125"/>
          <w:marBottom w:val="0"/>
          <w:divBdr>
            <w:top w:val="none" w:sz="0" w:space="0" w:color="auto"/>
            <w:left w:val="none" w:sz="0" w:space="0" w:color="auto"/>
            <w:bottom w:val="none" w:sz="0" w:space="0" w:color="auto"/>
            <w:right w:val="none" w:sz="0" w:space="0" w:color="auto"/>
          </w:divBdr>
        </w:div>
        <w:div w:id="307590949">
          <w:marLeft w:val="547"/>
          <w:marRight w:val="0"/>
          <w:marTop w:val="144"/>
          <w:marBottom w:val="0"/>
          <w:divBdr>
            <w:top w:val="none" w:sz="0" w:space="0" w:color="auto"/>
            <w:left w:val="none" w:sz="0" w:space="0" w:color="auto"/>
            <w:bottom w:val="none" w:sz="0" w:space="0" w:color="auto"/>
            <w:right w:val="none" w:sz="0" w:space="0" w:color="auto"/>
          </w:divBdr>
        </w:div>
        <w:div w:id="254630944">
          <w:marLeft w:val="1166"/>
          <w:marRight w:val="0"/>
          <w:marTop w:val="125"/>
          <w:marBottom w:val="0"/>
          <w:divBdr>
            <w:top w:val="none" w:sz="0" w:space="0" w:color="auto"/>
            <w:left w:val="none" w:sz="0" w:space="0" w:color="auto"/>
            <w:bottom w:val="none" w:sz="0" w:space="0" w:color="auto"/>
            <w:right w:val="none" w:sz="0" w:space="0" w:color="auto"/>
          </w:divBdr>
        </w:div>
        <w:div w:id="272440928">
          <w:marLeft w:val="1166"/>
          <w:marRight w:val="0"/>
          <w:marTop w:val="125"/>
          <w:marBottom w:val="0"/>
          <w:divBdr>
            <w:top w:val="none" w:sz="0" w:space="0" w:color="auto"/>
            <w:left w:val="none" w:sz="0" w:space="0" w:color="auto"/>
            <w:bottom w:val="none" w:sz="0" w:space="0" w:color="auto"/>
            <w:right w:val="none" w:sz="0" w:space="0" w:color="auto"/>
          </w:divBdr>
        </w:div>
        <w:div w:id="266229832">
          <w:marLeft w:val="1800"/>
          <w:marRight w:val="0"/>
          <w:marTop w:val="106"/>
          <w:marBottom w:val="0"/>
          <w:divBdr>
            <w:top w:val="none" w:sz="0" w:space="0" w:color="auto"/>
            <w:left w:val="none" w:sz="0" w:space="0" w:color="auto"/>
            <w:bottom w:val="none" w:sz="0" w:space="0" w:color="auto"/>
            <w:right w:val="none" w:sz="0" w:space="0" w:color="auto"/>
          </w:divBdr>
        </w:div>
        <w:div w:id="760297026">
          <w:marLeft w:val="2520"/>
          <w:marRight w:val="0"/>
          <w:marTop w:val="91"/>
          <w:marBottom w:val="0"/>
          <w:divBdr>
            <w:top w:val="none" w:sz="0" w:space="0" w:color="auto"/>
            <w:left w:val="none" w:sz="0" w:space="0" w:color="auto"/>
            <w:bottom w:val="none" w:sz="0" w:space="0" w:color="auto"/>
            <w:right w:val="none" w:sz="0" w:space="0" w:color="auto"/>
          </w:divBdr>
        </w:div>
        <w:div w:id="504438613">
          <w:marLeft w:val="1800"/>
          <w:marRight w:val="0"/>
          <w:marTop w:val="106"/>
          <w:marBottom w:val="0"/>
          <w:divBdr>
            <w:top w:val="none" w:sz="0" w:space="0" w:color="auto"/>
            <w:left w:val="none" w:sz="0" w:space="0" w:color="auto"/>
            <w:bottom w:val="none" w:sz="0" w:space="0" w:color="auto"/>
            <w:right w:val="none" w:sz="0" w:space="0" w:color="auto"/>
          </w:divBdr>
        </w:div>
        <w:div w:id="497961732">
          <w:marLeft w:val="2520"/>
          <w:marRight w:val="0"/>
          <w:marTop w:val="91"/>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 w:id="2141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1111.vsdx"/><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___3333.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___2222.vsdx"/><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DAAAB-F866-4099-A126-6D9E3D22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4081</Words>
  <Characters>23266</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Sai Dhiraj Amuru</cp:lastModifiedBy>
  <cp:revision>12</cp:revision>
  <cp:lastPrinted>2012-03-15T10:36:00Z</cp:lastPrinted>
  <dcterms:created xsi:type="dcterms:W3CDTF">2017-08-10T13:45:00Z</dcterms:created>
  <dcterms:modified xsi:type="dcterms:W3CDTF">2017-08-11T05:18:00Z</dcterms:modified>
</cp:coreProperties>
</file>